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0D64D5" w14:textId="77777777" w:rsidR="00E2405F" w:rsidRDefault="00F91726" w:rsidP="00D56230">
      <w:pPr>
        <w:pStyle w:val="Nadpis1"/>
      </w:pPr>
      <w:r>
        <w:t>smlouva o dodávce tepelné energie</w:t>
      </w:r>
    </w:p>
    <w:tbl>
      <w:tblPr>
        <w:tblW w:w="0" w:type="auto"/>
        <w:jc w:val="center"/>
        <w:tblLook w:val="04A0" w:firstRow="1" w:lastRow="0" w:firstColumn="1" w:lastColumn="0" w:noHBand="0" w:noVBand="1"/>
      </w:tblPr>
      <w:tblGrid>
        <w:gridCol w:w="3402"/>
        <w:gridCol w:w="3402"/>
      </w:tblGrid>
      <w:tr w:rsidR="000E19F3" w:rsidRPr="005D1494" w14:paraId="458721A4" w14:textId="77777777" w:rsidTr="002928B6">
        <w:trPr>
          <w:jc w:val="center"/>
        </w:trPr>
        <w:tc>
          <w:tcPr>
            <w:tcW w:w="3402" w:type="dxa"/>
            <w:shd w:val="clear" w:color="auto" w:fill="auto"/>
          </w:tcPr>
          <w:p w14:paraId="7BCAF304" w14:textId="77777777" w:rsidR="000E19F3" w:rsidRPr="005D1494" w:rsidRDefault="000E19F3" w:rsidP="000E19F3">
            <w:pPr>
              <w:pStyle w:val="Nadpis2"/>
              <w:spacing w:before="120" w:after="0"/>
              <w:jc w:val="right"/>
            </w:pPr>
            <w:r>
              <w:t>č. smlouvy dodavatele:</w:t>
            </w:r>
          </w:p>
        </w:tc>
        <w:tc>
          <w:tcPr>
            <w:tcW w:w="3402" w:type="dxa"/>
            <w:shd w:val="clear" w:color="auto" w:fill="auto"/>
          </w:tcPr>
          <w:p w14:paraId="33D9CC80" w14:textId="77777777" w:rsidR="000E19F3" w:rsidRPr="005D1494" w:rsidRDefault="000E19F3" w:rsidP="002928B6">
            <w:pPr>
              <w:pStyle w:val="Nadpis2"/>
              <w:spacing w:before="120" w:after="0"/>
              <w:jc w:val="left"/>
            </w:pPr>
          </w:p>
        </w:tc>
      </w:tr>
      <w:tr w:rsidR="000E19F3" w:rsidRPr="005D1494" w14:paraId="572EA213" w14:textId="77777777" w:rsidTr="002928B6">
        <w:trPr>
          <w:jc w:val="center"/>
        </w:trPr>
        <w:tc>
          <w:tcPr>
            <w:tcW w:w="3402" w:type="dxa"/>
            <w:shd w:val="clear" w:color="auto" w:fill="auto"/>
          </w:tcPr>
          <w:p w14:paraId="6C2273EE" w14:textId="77777777" w:rsidR="000E19F3" w:rsidRPr="005D1494" w:rsidRDefault="000E19F3" w:rsidP="000E19F3">
            <w:pPr>
              <w:pStyle w:val="Nadpis2"/>
              <w:spacing w:before="0"/>
              <w:jc w:val="right"/>
            </w:pPr>
            <w:r>
              <w:t>č. smlouvy odběratele:</w:t>
            </w:r>
          </w:p>
        </w:tc>
        <w:tc>
          <w:tcPr>
            <w:tcW w:w="3402" w:type="dxa"/>
            <w:shd w:val="clear" w:color="auto" w:fill="auto"/>
          </w:tcPr>
          <w:p w14:paraId="00C66C1F" w14:textId="77777777" w:rsidR="000E19F3" w:rsidRPr="005D1494" w:rsidRDefault="000E19F3" w:rsidP="002928B6">
            <w:pPr>
              <w:pStyle w:val="Nadpis2"/>
              <w:spacing w:before="0"/>
              <w:jc w:val="left"/>
            </w:pPr>
          </w:p>
        </w:tc>
      </w:tr>
    </w:tbl>
    <w:p w14:paraId="330C9150" w14:textId="77777777" w:rsidR="00E2405F" w:rsidRDefault="006F342E" w:rsidP="007F2873">
      <w:pPr>
        <w:pStyle w:val="Podtitul"/>
      </w:pPr>
      <w:r w:rsidRPr="00EA0990">
        <w:t xml:space="preserve">uzavřená v souladu s ustanoveními </w:t>
      </w:r>
      <w:r w:rsidR="00B0351E">
        <w:t>zákona č. 89/2012</w:t>
      </w:r>
      <w:r w:rsidR="00B0351E" w:rsidRPr="005F2C9F">
        <w:t xml:space="preserve"> Sb., </w:t>
      </w:r>
      <w:r w:rsidR="00B0351E">
        <w:t>občanský zákoník, v platném znění</w:t>
      </w:r>
      <w:r>
        <w:t xml:space="preserve"> </w:t>
      </w:r>
      <w:r>
        <w:br/>
        <w:t>a zákona č. 458/2000 Sb., E</w:t>
      </w:r>
      <w:r w:rsidRPr="00EA0990">
        <w:t>nergetický zákon, v platném zn</w:t>
      </w:r>
      <w:r>
        <w:t>ění</w:t>
      </w:r>
      <w:r w:rsidR="001673E1">
        <w:t xml:space="preserve"> mezi smluvními stranami:</w:t>
      </w:r>
    </w:p>
    <w:p w14:paraId="042F8A46" w14:textId="4304CED8" w:rsidR="00771E24" w:rsidRDefault="00771E24" w:rsidP="00771E24">
      <w:pPr>
        <w:spacing w:after="0"/>
      </w:pPr>
      <w:r>
        <w:t>SPOLEČNOST:</w:t>
      </w:r>
      <w:r>
        <w:tab/>
      </w:r>
      <w:r>
        <w:tab/>
      </w:r>
      <w:r w:rsidR="00DF4DEC" w:rsidRPr="00DF4DEC">
        <w:rPr>
          <w:b/>
          <w:bCs/>
        </w:rPr>
        <w:fldChar w:fldCharType="begin">
          <w:ffData>
            <w:name w:val=""/>
            <w:enabled/>
            <w:calcOnExit w:val="0"/>
            <w:textInput/>
          </w:ffData>
        </w:fldChar>
      </w:r>
      <w:r w:rsidR="00DF4DEC" w:rsidRPr="00DF4DEC">
        <w:rPr>
          <w:b/>
          <w:bCs/>
        </w:rPr>
        <w:instrText xml:space="preserve"> FORMTEXT </w:instrText>
      </w:r>
      <w:r w:rsidR="00DF4DEC" w:rsidRPr="00DF4DEC">
        <w:rPr>
          <w:b/>
          <w:bCs/>
        </w:rPr>
      </w:r>
      <w:r w:rsidR="00DF4DEC" w:rsidRPr="00DF4DEC">
        <w:rPr>
          <w:b/>
          <w:bCs/>
        </w:rPr>
        <w:fldChar w:fldCharType="separate"/>
      </w:r>
      <w:r w:rsidR="00DF4DEC" w:rsidRPr="00DF4DEC">
        <w:rPr>
          <w:b/>
          <w:bCs/>
          <w:noProof/>
        </w:rPr>
        <w:t> </w:t>
      </w:r>
      <w:r w:rsidR="00DF4DEC" w:rsidRPr="00DF4DEC">
        <w:rPr>
          <w:b/>
          <w:bCs/>
          <w:noProof/>
        </w:rPr>
        <w:t> </w:t>
      </w:r>
      <w:r w:rsidR="00DF4DEC" w:rsidRPr="00DF4DEC">
        <w:rPr>
          <w:b/>
          <w:bCs/>
          <w:noProof/>
        </w:rPr>
        <w:t> </w:t>
      </w:r>
      <w:r w:rsidR="00DF4DEC" w:rsidRPr="00DF4DEC">
        <w:rPr>
          <w:b/>
          <w:bCs/>
          <w:noProof/>
        </w:rPr>
        <w:t> </w:t>
      </w:r>
      <w:r w:rsidR="00DF4DEC" w:rsidRPr="00DF4DEC">
        <w:rPr>
          <w:b/>
          <w:bCs/>
          <w:noProof/>
        </w:rPr>
        <w:t> </w:t>
      </w:r>
      <w:r w:rsidR="00DF4DEC" w:rsidRPr="00DF4DEC">
        <w:rPr>
          <w:b/>
          <w:bCs/>
        </w:rPr>
        <w:fldChar w:fldCharType="end"/>
      </w:r>
      <w:r>
        <w:t xml:space="preserve"> </w:t>
      </w:r>
    </w:p>
    <w:p w14:paraId="2ED85B99" w14:textId="6C34DCBA" w:rsidR="00771E24" w:rsidRDefault="00771E24" w:rsidP="00771E24">
      <w:pPr>
        <w:spacing w:after="0"/>
      </w:pPr>
      <w:r>
        <w:t>SE SÍDLEM:</w:t>
      </w:r>
      <w:r>
        <w:tab/>
      </w:r>
      <w:r>
        <w:tab/>
      </w:r>
      <w:r w:rsidR="00DF4DEC" w:rsidRPr="004912AC">
        <w:fldChar w:fldCharType="begin">
          <w:ffData>
            <w:name w:val=""/>
            <w:enabled/>
            <w:calcOnExit w:val="0"/>
            <w:textInput/>
          </w:ffData>
        </w:fldChar>
      </w:r>
      <w:r w:rsidR="00DF4DEC" w:rsidRPr="004912AC">
        <w:instrText xml:space="preserve"> FORMTEXT </w:instrText>
      </w:r>
      <w:r w:rsidR="00DF4DEC" w:rsidRPr="004912AC">
        <w:fldChar w:fldCharType="separate"/>
      </w:r>
      <w:r w:rsidR="00DF4DEC" w:rsidRPr="004912AC">
        <w:rPr>
          <w:noProof/>
        </w:rPr>
        <w:t> </w:t>
      </w:r>
      <w:r w:rsidR="00DF4DEC" w:rsidRPr="004912AC">
        <w:rPr>
          <w:noProof/>
        </w:rPr>
        <w:t> </w:t>
      </w:r>
      <w:r w:rsidR="00DF4DEC" w:rsidRPr="004912AC">
        <w:rPr>
          <w:noProof/>
        </w:rPr>
        <w:t> </w:t>
      </w:r>
      <w:r w:rsidR="00DF4DEC" w:rsidRPr="004912AC">
        <w:rPr>
          <w:noProof/>
        </w:rPr>
        <w:t> </w:t>
      </w:r>
      <w:r w:rsidR="00DF4DEC" w:rsidRPr="004912AC">
        <w:rPr>
          <w:noProof/>
        </w:rPr>
        <w:t> </w:t>
      </w:r>
      <w:r w:rsidR="00DF4DEC" w:rsidRPr="004912AC">
        <w:fldChar w:fldCharType="end"/>
      </w:r>
    </w:p>
    <w:p w14:paraId="3D3ED0F4" w14:textId="6299F109" w:rsidR="00771E24" w:rsidRDefault="00771E24" w:rsidP="00771E24">
      <w:pPr>
        <w:spacing w:after="0"/>
      </w:pPr>
      <w:r>
        <w:t>IČ:</w:t>
      </w:r>
      <w:r>
        <w:tab/>
      </w:r>
      <w:r>
        <w:tab/>
      </w:r>
      <w:r>
        <w:tab/>
      </w:r>
      <w:r w:rsidR="00DF4DEC" w:rsidRPr="004912AC">
        <w:fldChar w:fldCharType="begin">
          <w:ffData>
            <w:name w:val=""/>
            <w:enabled/>
            <w:calcOnExit w:val="0"/>
            <w:textInput/>
          </w:ffData>
        </w:fldChar>
      </w:r>
      <w:r w:rsidR="00DF4DEC" w:rsidRPr="004912AC">
        <w:instrText xml:space="preserve"> FORMTEXT </w:instrText>
      </w:r>
      <w:r w:rsidR="00DF4DEC" w:rsidRPr="004912AC">
        <w:fldChar w:fldCharType="separate"/>
      </w:r>
      <w:r w:rsidR="00DF4DEC" w:rsidRPr="004912AC">
        <w:rPr>
          <w:noProof/>
        </w:rPr>
        <w:t> </w:t>
      </w:r>
      <w:r w:rsidR="00DF4DEC" w:rsidRPr="004912AC">
        <w:rPr>
          <w:noProof/>
        </w:rPr>
        <w:t> </w:t>
      </w:r>
      <w:r w:rsidR="00DF4DEC" w:rsidRPr="004912AC">
        <w:rPr>
          <w:noProof/>
        </w:rPr>
        <w:t> </w:t>
      </w:r>
      <w:r w:rsidR="00DF4DEC" w:rsidRPr="004912AC">
        <w:rPr>
          <w:noProof/>
        </w:rPr>
        <w:t> </w:t>
      </w:r>
      <w:r w:rsidR="00DF4DEC" w:rsidRPr="004912AC">
        <w:rPr>
          <w:noProof/>
        </w:rPr>
        <w:t> </w:t>
      </w:r>
      <w:r w:rsidR="00DF4DEC" w:rsidRPr="004912AC">
        <w:fldChar w:fldCharType="end"/>
      </w:r>
    </w:p>
    <w:p w14:paraId="2DE2E859" w14:textId="66DDB5F2" w:rsidR="00771E24" w:rsidRDefault="00771E24" w:rsidP="00771E24">
      <w:pPr>
        <w:spacing w:after="0"/>
      </w:pPr>
      <w:r>
        <w:t>DIČ:</w:t>
      </w:r>
      <w:r>
        <w:tab/>
      </w:r>
      <w:r>
        <w:tab/>
      </w:r>
      <w:r>
        <w:tab/>
      </w:r>
      <w:r w:rsidR="00DF4DEC" w:rsidRPr="004912AC">
        <w:fldChar w:fldCharType="begin">
          <w:ffData>
            <w:name w:val=""/>
            <w:enabled/>
            <w:calcOnExit w:val="0"/>
            <w:textInput/>
          </w:ffData>
        </w:fldChar>
      </w:r>
      <w:r w:rsidR="00DF4DEC" w:rsidRPr="004912AC">
        <w:instrText xml:space="preserve"> FORMTEXT </w:instrText>
      </w:r>
      <w:r w:rsidR="00DF4DEC" w:rsidRPr="004912AC">
        <w:fldChar w:fldCharType="separate"/>
      </w:r>
      <w:r w:rsidR="00DF4DEC" w:rsidRPr="004912AC">
        <w:rPr>
          <w:noProof/>
        </w:rPr>
        <w:t> </w:t>
      </w:r>
      <w:r w:rsidR="00DF4DEC" w:rsidRPr="004912AC">
        <w:rPr>
          <w:noProof/>
        </w:rPr>
        <w:t> </w:t>
      </w:r>
      <w:r w:rsidR="00DF4DEC" w:rsidRPr="004912AC">
        <w:rPr>
          <w:noProof/>
        </w:rPr>
        <w:t> </w:t>
      </w:r>
      <w:r w:rsidR="00DF4DEC" w:rsidRPr="004912AC">
        <w:rPr>
          <w:noProof/>
        </w:rPr>
        <w:t> </w:t>
      </w:r>
      <w:r w:rsidR="00DF4DEC" w:rsidRPr="004912AC">
        <w:rPr>
          <w:noProof/>
        </w:rPr>
        <w:t> </w:t>
      </w:r>
      <w:r w:rsidR="00DF4DEC" w:rsidRPr="004912AC">
        <w:fldChar w:fldCharType="end"/>
      </w:r>
    </w:p>
    <w:p w14:paraId="74F871A6" w14:textId="6B4C3D6F" w:rsidR="00771E24" w:rsidRDefault="00771E24" w:rsidP="00771E24">
      <w:pPr>
        <w:spacing w:after="0"/>
      </w:pPr>
      <w:r>
        <w:t>zapsaná v Obchodním rejstříku vedeném</w:t>
      </w:r>
      <w:r w:rsidR="00595686">
        <w:t xml:space="preserve"> </w:t>
      </w:r>
      <w:r w:rsidR="00DF4DEC" w:rsidRPr="004912AC">
        <w:fldChar w:fldCharType="begin">
          <w:ffData>
            <w:name w:val=""/>
            <w:enabled/>
            <w:calcOnExit w:val="0"/>
            <w:textInput/>
          </w:ffData>
        </w:fldChar>
      </w:r>
      <w:r w:rsidR="00DF4DEC" w:rsidRPr="004912AC">
        <w:instrText xml:space="preserve"> FORMTEXT </w:instrText>
      </w:r>
      <w:r w:rsidR="00DF4DEC" w:rsidRPr="004912AC">
        <w:fldChar w:fldCharType="separate"/>
      </w:r>
      <w:r w:rsidR="00DF4DEC" w:rsidRPr="004912AC">
        <w:rPr>
          <w:noProof/>
        </w:rPr>
        <w:t> </w:t>
      </w:r>
      <w:r w:rsidR="00DF4DEC" w:rsidRPr="004912AC">
        <w:rPr>
          <w:noProof/>
        </w:rPr>
        <w:t> </w:t>
      </w:r>
      <w:r w:rsidR="00DF4DEC" w:rsidRPr="004912AC">
        <w:rPr>
          <w:noProof/>
        </w:rPr>
        <w:t> </w:t>
      </w:r>
      <w:r w:rsidR="00DF4DEC" w:rsidRPr="004912AC">
        <w:rPr>
          <w:noProof/>
        </w:rPr>
        <w:t> </w:t>
      </w:r>
      <w:r w:rsidR="00DF4DEC" w:rsidRPr="004912AC">
        <w:rPr>
          <w:noProof/>
        </w:rPr>
        <w:t> </w:t>
      </w:r>
      <w:r w:rsidR="00DF4DEC" w:rsidRPr="004912AC">
        <w:fldChar w:fldCharType="end"/>
      </w:r>
      <w:r>
        <w:t>, oddíl</w:t>
      </w:r>
      <w:r w:rsidR="00595686">
        <w:t xml:space="preserve"> </w:t>
      </w:r>
      <w:r w:rsidR="00DF4DEC" w:rsidRPr="004912AC">
        <w:fldChar w:fldCharType="begin">
          <w:ffData>
            <w:name w:val=""/>
            <w:enabled/>
            <w:calcOnExit w:val="0"/>
            <w:textInput/>
          </w:ffData>
        </w:fldChar>
      </w:r>
      <w:r w:rsidR="00DF4DEC" w:rsidRPr="004912AC">
        <w:instrText xml:space="preserve"> FORMTEXT </w:instrText>
      </w:r>
      <w:r w:rsidR="00DF4DEC" w:rsidRPr="004912AC">
        <w:fldChar w:fldCharType="separate"/>
      </w:r>
      <w:r w:rsidR="00DF4DEC" w:rsidRPr="004912AC">
        <w:rPr>
          <w:noProof/>
        </w:rPr>
        <w:t> </w:t>
      </w:r>
      <w:r w:rsidR="00DF4DEC" w:rsidRPr="004912AC">
        <w:rPr>
          <w:noProof/>
        </w:rPr>
        <w:t> </w:t>
      </w:r>
      <w:r w:rsidR="00DF4DEC" w:rsidRPr="004912AC">
        <w:rPr>
          <w:noProof/>
        </w:rPr>
        <w:t> </w:t>
      </w:r>
      <w:r w:rsidR="00DF4DEC" w:rsidRPr="004912AC">
        <w:rPr>
          <w:noProof/>
        </w:rPr>
        <w:t> </w:t>
      </w:r>
      <w:r w:rsidR="00DF4DEC" w:rsidRPr="004912AC">
        <w:rPr>
          <w:noProof/>
        </w:rPr>
        <w:t> </w:t>
      </w:r>
      <w:r w:rsidR="00DF4DEC" w:rsidRPr="004912AC">
        <w:fldChar w:fldCharType="end"/>
      </w:r>
      <w:r>
        <w:t>, vložka</w:t>
      </w:r>
      <w:r w:rsidR="00595686">
        <w:t xml:space="preserve"> </w:t>
      </w:r>
      <w:r w:rsidR="00DF4DEC" w:rsidRPr="004912AC">
        <w:fldChar w:fldCharType="begin">
          <w:ffData>
            <w:name w:val=""/>
            <w:enabled/>
            <w:calcOnExit w:val="0"/>
            <w:textInput/>
          </w:ffData>
        </w:fldChar>
      </w:r>
      <w:r w:rsidR="00DF4DEC" w:rsidRPr="004912AC">
        <w:instrText xml:space="preserve"> FORMTEXT </w:instrText>
      </w:r>
      <w:r w:rsidR="00DF4DEC" w:rsidRPr="004912AC">
        <w:fldChar w:fldCharType="separate"/>
      </w:r>
      <w:r w:rsidR="00DF4DEC" w:rsidRPr="004912AC">
        <w:rPr>
          <w:noProof/>
        </w:rPr>
        <w:t> </w:t>
      </w:r>
      <w:r w:rsidR="00DF4DEC" w:rsidRPr="004912AC">
        <w:rPr>
          <w:noProof/>
        </w:rPr>
        <w:t> </w:t>
      </w:r>
      <w:r w:rsidR="00DF4DEC" w:rsidRPr="004912AC">
        <w:rPr>
          <w:noProof/>
        </w:rPr>
        <w:t> </w:t>
      </w:r>
      <w:r w:rsidR="00DF4DEC" w:rsidRPr="004912AC">
        <w:rPr>
          <w:noProof/>
        </w:rPr>
        <w:t> </w:t>
      </w:r>
      <w:r w:rsidR="00DF4DEC" w:rsidRPr="004912AC">
        <w:rPr>
          <w:noProof/>
        </w:rPr>
        <w:t> </w:t>
      </w:r>
      <w:r w:rsidR="00DF4DEC" w:rsidRPr="004912AC">
        <w:fldChar w:fldCharType="end"/>
      </w:r>
      <w:r>
        <w:t>.</w:t>
      </w:r>
    </w:p>
    <w:p w14:paraId="28896702" w14:textId="6E8F80C2" w:rsidR="00595686" w:rsidRDefault="00DF4DEC" w:rsidP="00595686">
      <w:pPr>
        <w:spacing w:after="0"/>
        <w:rPr>
          <w:b/>
        </w:rPr>
      </w:pPr>
      <w:r>
        <w:rPr>
          <w:rFonts w:cs="Calibri"/>
        </w:rPr>
        <w:t>ZASTOUPENA</w:t>
      </w:r>
      <w:r w:rsidR="00771E24">
        <w:t>:</w:t>
      </w:r>
      <w:r w:rsidR="00771E24">
        <w:tab/>
      </w:r>
      <w:r w:rsidR="00771E24">
        <w:tab/>
      </w:r>
      <w:r w:rsidRPr="00DF4DEC">
        <w:rPr>
          <w:b/>
          <w:bCs/>
        </w:rPr>
        <w:fldChar w:fldCharType="begin">
          <w:ffData>
            <w:name w:val=""/>
            <w:enabled/>
            <w:calcOnExit w:val="0"/>
            <w:textInput/>
          </w:ffData>
        </w:fldChar>
      </w:r>
      <w:r w:rsidRPr="00DF4DEC">
        <w:rPr>
          <w:b/>
          <w:bCs/>
        </w:rPr>
        <w:instrText xml:space="preserve"> FORMTEXT </w:instrText>
      </w:r>
      <w:r w:rsidRPr="00DF4DEC">
        <w:rPr>
          <w:b/>
          <w:bCs/>
        </w:rPr>
      </w:r>
      <w:r w:rsidRPr="00DF4DEC">
        <w:rPr>
          <w:b/>
          <w:bCs/>
        </w:rPr>
        <w:fldChar w:fldCharType="separate"/>
      </w:r>
      <w:r w:rsidRPr="00DF4DEC">
        <w:rPr>
          <w:b/>
          <w:bCs/>
          <w:noProof/>
        </w:rPr>
        <w:t> </w:t>
      </w:r>
      <w:r w:rsidRPr="00DF4DEC">
        <w:rPr>
          <w:b/>
          <w:bCs/>
          <w:noProof/>
        </w:rPr>
        <w:t> </w:t>
      </w:r>
      <w:r w:rsidRPr="00DF4DEC">
        <w:rPr>
          <w:b/>
          <w:bCs/>
          <w:noProof/>
        </w:rPr>
        <w:t> </w:t>
      </w:r>
      <w:r w:rsidRPr="00DF4DEC">
        <w:rPr>
          <w:b/>
          <w:bCs/>
          <w:noProof/>
        </w:rPr>
        <w:t> </w:t>
      </w:r>
      <w:r w:rsidRPr="00DF4DEC">
        <w:rPr>
          <w:b/>
          <w:bCs/>
          <w:noProof/>
        </w:rPr>
        <w:t> </w:t>
      </w:r>
      <w:r w:rsidRPr="00DF4DEC">
        <w:rPr>
          <w:b/>
          <w:bCs/>
        </w:rPr>
        <w:fldChar w:fldCharType="end"/>
      </w:r>
    </w:p>
    <w:p w14:paraId="3A4192C4" w14:textId="766DD4F4" w:rsidR="00771E24" w:rsidRPr="00AF25FC" w:rsidRDefault="00DF4DEC" w:rsidP="00771E24">
      <w:pPr>
        <w:spacing w:after="0"/>
        <w:rPr>
          <w:b/>
        </w:rPr>
      </w:pPr>
      <w:r w:rsidRPr="004912AC">
        <w:fldChar w:fldCharType="begin">
          <w:ffData>
            <w:name w:val=""/>
            <w:enabled/>
            <w:calcOnExit w:val="0"/>
            <w:textInput/>
          </w:ffData>
        </w:fldChar>
      </w:r>
      <w:r w:rsidRPr="004912AC">
        <w:instrText xml:space="preserve"> FORMTEXT </w:instrText>
      </w:r>
      <w:r w:rsidRPr="004912AC">
        <w:fldChar w:fldCharType="separate"/>
      </w:r>
      <w:r w:rsidRPr="004912AC">
        <w:rPr>
          <w:noProof/>
        </w:rPr>
        <w:t> </w:t>
      </w:r>
      <w:r w:rsidRPr="004912AC">
        <w:rPr>
          <w:noProof/>
        </w:rPr>
        <w:t> </w:t>
      </w:r>
      <w:r w:rsidRPr="004912AC">
        <w:rPr>
          <w:noProof/>
        </w:rPr>
        <w:t> </w:t>
      </w:r>
      <w:r w:rsidRPr="004912AC">
        <w:rPr>
          <w:noProof/>
        </w:rPr>
        <w:t> </w:t>
      </w:r>
      <w:r w:rsidRPr="004912AC">
        <w:rPr>
          <w:noProof/>
        </w:rPr>
        <w:t> </w:t>
      </w:r>
      <w:r w:rsidRPr="004912AC">
        <w:fldChar w:fldCharType="end"/>
      </w:r>
      <w:r w:rsidR="00771E24">
        <w:rPr>
          <w:b/>
        </w:rPr>
        <w:t xml:space="preserve"> </w:t>
      </w:r>
      <w:r w:rsidR="00771E24" w:rsidRPr="00AF25FC">
        <w:rPr>
          <w:b/>
        </w:rPr>
        <w:t xml:space="preserve"> </w:t>
      </w:r>
    </w:p>
    <w:p w14:paraId="00A83748" w14:textId="44EA9548" w:rsidR="00771E24" w:rsidRDefault="00771E24" w:rsidP="00771E24">
      <w:pPr>
        <w:spacing w:after="0"/>
      </w:pPr>
      <w:r>
        <w:t>BANKOVNÍ SPOJENÍ:</w:t>
      </w:r>
      <w:r>
        <w:tab/>
      </w:r>
      <w:r w:rsidR="00DF4DEC" w:rsidRPr="004912AC">
        <w:fldChar w:fldCharType="begin">
          <w:ffData>
            <w:name w:val=""/>
            <w:enabled/>
            <w:calcOnExit w:val="0"/>
            <w:textInput/>
          </w:ffData>
        </w:fldChar>
      </w:r>
      <w:r w:rsidR="00DF4DEC" w:rsidRPr="004912AC">
        <w:instrText xml:space="preserve"> FORMTEXT </w:instrText>
      </w:r>
      <w:r w:rsidR="00DF4DEC" w:rsidRPr="004912AC">
        <w:fldChar w:fldCharType="separate"/>
      </w:r>
      <w:r w:rsidR="00DF4DEC" w:rsidRPr="004912AC">
        <w:rPr>
          <w:noProof/>
        </w:rPr>
        <w:t> </w:t>
      </w:r>
      <w:r w:rsidR="00DF4DEC" w:rsidRPr="004912AC">
        <w:rPr>
          <w:noProof/>
        </w:rPr>
        <w:t> </w:t>
      </w:r>
      <w:r w:rsidR="00DF4DEC" w:rsidRPr="004912AC">
        <w:rPr>
          <w:noProof/>
        </w:rPr>
        <w:t> </w:t>
      </w:r>
      <w:r w:rsidR="00DF4DEC" w:rsidRPr="004912AC">
        <w:rPr>
          <w:noProof/>
        </w:rPr>
        <w:t> </w:t>
      </w:r>
      <w:r w:rsidR="00DF4DEC" w:rsidRPr="004912AC">
        <w:rPr>
          <w:noProof/>
        </w:rPr>
        <w:t> </w:t>
      </w:r>
      <w:r w:rsidR="00DF4DEC" w:rsidRPr="004912AC">
        <w:fldChar w:fldCharType="end"/>
      </w:r>
    </w:p>
    <w:p w14:paraId="505D82F9" w14:textId="6FAB422F" w:rsidR="00771E24" w:rsidRDefault="00771E24" w:rsidP="00771E24">
      <w:pPr>
        <w:spacing w:after="0"/>
      </w:pPr>
      <w:r>
        <w:t>ČÍSLO ÚČTU:</w:t>
      </w:r>
      <w:r>
        <w:tab/>
      </w:r>
      <w:r>
        <w:tab/>
      </w:r>
      <w:r w:rsidR="00DF4DEC" w:rsidRPr="004912AC">
        <w:fldChar w:fldCharType="begin">
          <w:ffData>
            <w:name w:val=""/>
            <w:enabled/>
            <w:calcOnExit w:val="0"/>
            <w:textInput/>
          </w:ffData>
        </w:fldChar>
      </w:r>
      <w:r w:rsidR="00DF4DEC" w:rsidRPr="004912AC">
        <w:instrText xml:space="preserve"> FORMTEXT </w:instrText>
      </w:r>
      <w:r w:rsidR="00DF4DEC" w:rsidRPr="004912AC">
        <w:fldChar w:fldCharType="separate"/>
      </w:r>
      <w:r w:rsidR="00DF4DEC" w:rsidRPr="004912AC">
        <w:rPr>
          <w:noProof/>
        </w:rPr>
        <w:t> </w:t>
      </w:r>
      <w:r w:rsidR="00DF4DEC" w:rsidRPr="004912AC">
        <w:rPr>
          <w:noProof/>
        </w:rPr>
        <w:t> </w:t>
      </w:r>
      <w:r w:rsidR="00DF4DEC" w:rsidRPr="004912AC">
        <w:rPr>
          <w:noProof/>
        </w:rPr>
        <w:t> </w:t>
      </w:r>
      <w:r w:rsidR="00DF4DEC" w:rsidRPr="004912AC">
        <w:rPr>
          <w:noProof/>
        </w:rPr>
        <w:t> </w:t>
      </w:r>
      <w:r w:rsidR="00DF4DEC" w:rsidRPr="004912AC">
        <w:rPr>
          <w:noProof/>
        </w:rPr>
        <w:t> </w:t>
      </w:r>
      <w:r w:rsidR="00DF4DEC" w:rsidRPr="004912AC">
        <w:fldChar w:fldCharType="end"/>
      </w:r>
    </w:p>
    <w:p w14:paraId="2E765EAE" w14:textId="77777777" w:rsidR="00771E24" w:rsidRDefault="00771E24" w:rsidP="00771E24">
      <w:pPr>
        <w:spacing w:after="0"/>
      </w:pPr>
      <w:r>
        <w:t>OSOBY OPRÁVNĚNÉ JEDNAT VE VĚCECH OBCHODNÍCH:</w:t>
      </w:r>
      <w:r>
        <w:tab/>
      </w:r>
    </w:p>
    <w:p w14:paraId="0E1AFE73" w14:textId="79EC0C92" w:rsidR="00F91726" w:rsidRPr="00AF25FC" w:rsidRDefault="00771E24" w:rsidP="00F91726">
      <w:pPr>
        <w:spacing w:after="0"/>
        <w:rPr>
          <w:b/>
        </w:rPr>
      </w:pPr>
      <w:r>
        <w:tab/>
      </w:r>
      <w:r>
        <w:tab/>
      </w:r>
      <w:r>
        <w:tab/>
      </w:r>
      <w:r w:rsidR="00DF4DEC" w:rsidRPr="004912AC">
        <w:fldChar w:fldCharType="begin">
          <w:ffData>
            <w:name w:val=""/>
            <w:enabled/>
            <w:calcOnExit w:val="0"/>
            <w:textInput/>
          </w:ffData>
        </w:fldChar>
      </w:r>
      <w:r w:rsidR="00DF4DEC" w:rsidRPr="004912AC">
        <w:instrText xml:space="preserve"> FORMTEXT </w:instrText>
      </w:r>
      <w:r w:rsidR="00DF4DEC" w:rsidRPr="004912AC">
        <w:fldChar w:fldCharType="separate"/>
      </w:r>
      <w:r w:rsidR="00DF4DEC" w:rsidRPr="004912AC">
        <w:rPr>
          <w:noProof/>
        </w:rPr>
        <w:t> </w:t>
      </w:r>
      <w:r w:rsidR="00DF4DEC" w:rsidRPr="004912AC">
        <w:rPr>
          <w:noProof/>
        </w:rPr>
        <w:t> </w:t>
      </w:r>
      <w:r w:rsidR="00DF4DEC" w:rsidRPr="004912AC">
        <w:rPr>
          <w:noProof/>
        </w:rPr>
        <w:t> </w:t>
      </w:r>
      <w:r w:rsidR="00DF4DEC" w:rsidRPr="004912AC">
        <w:rPr>
          <w:noProof/>
        </w:rPr>
        <w:t> </w:t>
      </w:r>
      <w:r w:rsidR="00DF4DEC" w:rsidRPr="004912AC">
        <w:rPr>
          <w:noProof/>
        </w:rPr>
        <w:t> </w:t>
      </w:r>
      <w:r w:rsidR="00DF4DEC" w:rsidRPr="004912AC">
        <w:fldChar w:fldCharType="end"/>
      </w:r>
    </w:p>
    <w:p w14:paraId="3CA02EF6" w14:textId="63F37EAD" w:rsidR="00F91726" w:rsidRDefault="00F91726" w:rsidP="00F91726">
      <w:pPr>
        <w:spacing w:after="0"/>
      </w:pPr>
      <w:r>
        <w:t>TELEFON:</w:t>
      </w:r>
      <w:r>
        <w:tab/>
      </w:r>
      <w:r>
        <w:tab/>
      </w:r>
      <w:r w:rsidR="00DF4DEC" w:rsidRPr="004912AC">
        <w:fldChar w:fldCharType="begin">
          <w:ffData>
            <w:name w:val=""/>
            <w:enabled/>
            <w:calcOnExit w:val="0"/>
            <w:textInput/>
          </w:ffData>
        </w:fldChar>
      </w:r>
      <w:r w:rsidR="00DF4DEC" w:rsidRPr="004912AC">
        <w:instrText xml:space="preserve"> FORMTEXT </w:instrText>
      </w:r>
      <w:r w:rsidR="00DF4DEC" w:rsidRPr="004912AC">
        <w:fldChar w:fldCharType="separate"/>
      </w:r>
      <w:r w:rsidR="00DF4DEC" w:rsidRPr="004912AC">
        <w:rPr>
          <w:noProof/>
        </w:rPr>
        <w:t> </w:t>
      </w:r>
      <w:r w:rsidR="00DF4DEC" w:rsidRPr="004912AC">
        <w:rPr>
          <w:noProof/>
        </w:rPr>
        <w:t> </w:t>
      </w:r>
      <w:r w:rsidR="00DF4DEC" w:rsidRPr="004912AC">
        <w:rPr>
          <w:noProof/>
        </w:rPr>
        <w:t> </w:t>
      </w:r>
      <w:r w:rsidR="00DF4DEC" w:rsidRPr="004912AC">
        <w:rPr>
          <w:noProof/>
        </w:rPr>
        <w:t> </w:t>
      </w:r>
      <w:r w:rsidR="00DF4DEC" w:rsidRPr="004912AC">
        <w:rPr>
          <w:noProof/>
        </w:rPr>
        <w:t> </w:t>
      </w:r>
      <w:r w:rsidR="00DF4DEC" w:rsidRPr="004912AC">
        <w:fldChar w:fldCharType="end"/>
      </w:r>
    </w:p>
    <w:p w14:paraId="08539B19" w14:textId="0F4F8D4A" w:rsidR="00F91726" w:rsidRDefault="00F91726" w:rsidP="00F91726">
      <w:pPr>
        <w:spacing w:after="0"/>
      </w:pPr>
      <w:r>
        <w:t>E-MAIL:</w:t>
      </w:r>
      <w:r>
        <w:tab/>
      </w:r>
      <w:r>
        <w:tab/>
      </w:r>
      <w:r>
        <w:tab/>
      </w:r>
      <w:r w:rsidR="00DF4DEC" w:rsidRPr="004912AC">
        <w:fldChar w:fldCharType="begin">
          <w:ffData>
            <w:name w:val=""/>
            <w:enabled/>
            <w:calcOnExit w:val="0"/>
            <w:textInput/>
          </w:ffData>
        </w:fldChar>
      </w:r>
      <w:r w:rsidR="00DF4DEC" w:rsidRPr="004912AC">
        <w:instrText xml:space="preserve"> FORMTEXT </w:instrText>
      </w:r>
      <w:r w:rsidR="00DF4DEC" w:rsidRPr="004912AC">
        <w:fldChar w:fldCharType="separate"/>
      </w:r>
      <w:r w:rsidR="00DF4DEC" w:rsidRPr="004912AC">
        <w:rPr>
          <w:noProof/>
        </w:rPr>
        <w:t> </w:t>
      </w:r>
      <w:r w:rsidR="00DF4DEC" w:rsidRPr="004912AC">
        <w:rPr>
          <w:noProof/>
        </w:rPr>
        <w:t> </w:t>
      </w:r>
      <w:r w:rsidR="00DF4DEC" w:rsidRPr="004912AC">
        <w:rPr>
          <w:noProof/>
        </w:rPr>
        <w:t> </w:t>
      </w:r>
      <w:r w:rsidR="00DF4DEC" w:rsidRPr="004912AC">
        <w:rPr>
          <w:noProof/>
        </w:rPr>
        <w:t> </w:t>
      </w:r>
      <w:r w:rsidR="00DF4DEC" w:rsidRPr="004912AC">
        <w:rPr>
          <w:noProof/>
        </w:rPr>
        <w:t> </w:t>
      </w:r>
      <w:r w:rsidR="00DF4DEC" w:rsidRPr="004912AC">
        <w:fldChar w:fldCharType="end"/>
      </w:r>
    </w:p>
    <w:p w14:paraId="0A71BCD7" w14:textId="77777777" w:rsidR="00F91726" w:rsidRDefault="00F91726" w:rsidP="00F91726">
      <w:pPr>
        <w:spacing w:after="0"/>
      </w:pPr>
      <w:r>
        <w:t>OSOBY OPRÁVNĚNÉ JEDNAT VE VĚCECH TECHNICKÝCH:</w:t>
      </w:r>
    </w:p>
    <w:p w14:paraId="486644C5" w14:textId="24BE582E" w:rsidR="00F91726" w:rsidRPr="00AF25FC" w:rsidRDefault="00F91726" w:rsidP="00F91726">
      <w:pPr>
        <w:spacing w:after="0"/>
        <w:rPr>
          <w:b/>
        </w:rPr>
      </w:pPr>
      <w:r>
        <w:tab/>
      </w:r>
      <w:r>
        <w:tab/>
      </w:r>
      <w:r>
        <w:tab/>
      </w:r>
      <w:r w:rsidR="00DF4DEC" w:rsidRPr="004912AC">
        <w:fldChar w:fldCharType="begin">
          <w:ffData>
            <w:name w:val=""/>
            <w:enabled/>
            <w:calcOnExit w:val="0"/>
            <w:textInput/>
          </w:ffData>
        </w:fldChar>
      </w:r>
      <w:r w:rsidR="00DF4DEC" w:rsidRPr="004912AC">
        <w:instrText xml:space="preserve"> FORMTEXT </w:instrText>
      </w:r>
      <w:r w:rsidR="00DF4DEC" w:rsidRPr="004912AC">
        <w:fldChar w:fldCharType="separate"/>
      </w:r>
      <w:r w:rsidR="00DF4DEC" w:rsidRPr="004912AC">
        <w:rPr>
          <w:noProof/>
        </w:rPr>
        <w:t> </w:t>
      </w:r>
      <w:r w:rsidR="00DF4DEC" w:rsidRPr="004912AC">
        <w:rPr>
          <w:noProof/>
        </w:rPr>
        <w:t> </w:t>
      </w:r>
      <w:r w:rsidR="00DF4DEC" w:rsidRPr="004912AC">
        <w:rPr>
          <w:noProof/>
        </w:rPr>
        <w:t> </w:t>
      </w:r>
      <w:r w:rsidR="00DF4DEC" w:rsidRPr="004912AC">
        <w:rPr>
          <w:noProof/>
        </w:rPr>
        <w:t> </w:t>
      </w:r>
      <w:r w:rsidR="00DF4DEC" w:rsidRPr="004912AC">
        <w:rPr>
          <w:noProof/>
        </w:rPr>
        <w:t> </w:t>
      </w:r>
      <w:r w:rsidR="00DF4DEC" w:rsidRPr="004912AC">
        <w:fldChar w:fldCharType="end"/>
      </w:r>
    </w:p>
    <w:p w14:paraId="16690A0B" w14:textId="76187E9E" w:rsidR="00F91726" w:rsidRDefault="00F91726" w:rsidP="00F91726">
      <w:pPr>
        <w:spacing w:after="0"/>
      </w:pPr>
      <w:r>
        <w:t>TELEFON:</w:t>
      </w:r>
      <w:r>
        <w:tab/>
      </w:r>
      <w:r>
        <w:tab/>
      </w:r>
      <w:r w:rsidR="00DF4DEC" w:rsidRPr="004912AC">
        <w:fldChar w:fldCharType="begin">
          <w:ffData>
            <w:name w:val=""/>
            <w:enabled/>
            <w:calcOnExit w:val="0"/>
            <w:textInput/>
          </w:ffData>
        </w:fldChar>
      </w:r>
      <w:r w:rsidR="00DF4DEC" w:rsidRPr="004912AC">
        <w:instrText xml:space="preserve"> FORMTEXT </w:instrText>
      </w:r>
      <w:r w:rsidR="00DF4DEC" w:rsidRPr="004912AC">
        <w:fldChar w:fldCharType="separate"/>
      </w:r>
      <w:r w:rsidR="00DF4DEC" w:rsidRPr="004912AC">
        <w:rPr>
          <w:noProof/>
        </w:rPr>
        <w:t> </w:t>
      </w:r>
      <w:r w:rsidR="00DF4DEC" w:rsidRPr="004912AC">
        <w:rPr>
          <w:noProof/>
        </w:rPr>
        <w:t> </w:t>
      </w:r>
      <w:r w:rsidR="00DF4DEC" w:rsidRPr="004912AC">
        <w:rPr>
          <w:noProof/>
        </w:rPr>
        <w:t> </w:t>
      </w:r>
      <w:r w:rsidR="00DF4DEC" w:rsidRPr="004912AC">
        <w:rPr>
          <w:noProof/>
        </w:rPr>
        <w:t> </w:t>
      </w:r>
      <w:r w:rsidR="00DF4DEC" w:rsidRPr="004912AC">
        <w:rPr>
          <w:noProof/>
        </w:rPr>
        <w:t> </w:t>
      </w:r>
      <w:r w:rsidR="00DF4DEC" w:rsidRPr="004912AC">
        <w:fldChar w:fldCharType="end"/>
      </w:r>
    </w:p>
    <w:p w14:paraId="2BDEDD33" w14:textId="4F51BED3" w:rsidR="00771E24" w:rsidRDefault="00F91726" w:rsidP="00F91726">
      <w:pPr>
        <w:spacing w:after="0"/>
      </w:pPr>
      <w:r>
        <w:t>E-MAIL:</w:t>
      </w:r>
      <w:r>
        <w:tab/>
      </w:r>
      <w:r>
        <w:tab/>
      </w:r>
      <w:r>
        <w:tab/>
      </w:r>
      <w:r w:rsidR="00DF4DEC" w:rsidRPr="004912AC">
        <w:fldChar w:fldCharType="begin">
          <w:ffData>
            <w:name w:val=""/>
            <w:enabled/>
            <w:calcOnExit w:val="0"/>
            <w:textInput/>
          </w:ffData>
        </w:fldChar>
      </w:r>
      <w:r w:rsidR="00DF4DEC" w:rsidRPr="004912AC">
        <w:instrText xml:space="preserve"> FORMTEXT </w:instrText>
      </w:r>
      <w:r w:rsidR="00DF4DEC" w:rsidRPr="004912AC">
        <w:fldChar w:fldCharType="separate"/>
      </w:r>
      <w:r w:rsidR="00DF4DEC" w:rsidRPr="004912AC">
        <w:rPr>
          <w:noProof/>
        </w:rPr>
        <w:t> </w:t>
      </w:r>
      <w:r w:rsidR="00DF4DEC" w:rsidRPr="004912AC">
        <w:rPr>
          <w:noProof/>
        </w:rPr>
        <w:t> </w:t>
      </w:r>
      <w:r w:rsidR="00DF4DEC" w:rsidRPr="004912AC">
        <w:rPr>
          <w:noProof/>
        </w:rPr>
        <w:t> </w:t>
      </w:r>
      <w:r w:rsidR="00DF4DEC" w:rsidRPr="004912AC">
        <w:rPr>
          <w:noProof/>
        </w:rPr>
        <w:t> </w:t>
      </w:r>
      <w:r w:rsidR="00DF4DEC" w:rsidRPr="004912AC">
        <w:rPr>
          <w:noProof/>
        </w:rPr>
        <w:t> </w:t>
      </w:r>
      <w:r w:rsidR="00DF4DEC" w:rsidRPr="004912AC">
        <w:fldChar w:fldCharType="end"/>
      </w:r>
      <w:r w:rsidR="00771E24">
        <w:t xml:space="preserve"> </w:t>
      </w:r>
    </w:p>
    <w:p w14:paraId="1FD8B34A" w14:textId="77777777" w:rsidR="00771E24" w:rsidRDefault="00771E24" w:rsidP="000E744F">
      <w:pPr>
        <w:spacing w:before="240" w:after="0"/>
        <w:rPr>
          <w:b/>
        </w:rPr>
      </w:pPr>
      <w:r>
        <w:rPr>
          <w:b/>
        </w:rPr>
        <w:t>dále jen „</w:t>
      </w:r>
      <w:r w:rsidR="006F342E">
        <w:rPr>
          <w:b/>
        </w:rPr>
        <w:t>D</w:t>
      </w:r>
      <w:r w:rsidR="00F91726">
        <w:rPr>
          <w:b/>
        </w:rPr>
        <w:t>odavatel</w:t>
      </w:r>
      <w:r>
        <w:rPr>
          <w:b/>
        </w:rPr>
        <w:t>“ a</w:t>
      </w:r>
    </w:p>
    <w:p w14:paraId="2ED2A062" w14:textId="77777777" w:rsidR="00145B05" w:rsidRPr="004912AC" w:rsidRDefault="00145B05" w:rsidP="00145B05">
      <w:pPr>
        <w:spacing w:before="240" w:after="0"/>
        <w:rPr>
          <w:rFonts w:cs="Calibri"/>
        </w:rPr>
      </w:pPr>
      <w:r w:rsidRPr="004912AC">
        <w:rPr>
          <w:rFonts w:cs="Calibri"/>
        </w:rPr>
        <w:t>SPOLEČNOST:</w:t>
      </w:r>
      <w:r w:rsidRPr="004912AC">
        <w:rPr>
          <w:rFonts w:cs="Calibri"/>
        </w:rPr>
        <w:tab/>
      </w:r>
      <w:r w:rsidRPr="004912AC">
        <w:rPr>
          <w:rFonts w:cs="Calibri"/>
        </w:rPr>
        <w:tab/>
      </w:r>
      <w:proofErr w:type="spellStart"/>
      <w:r w:rsidRPr="004912AC">
        <w:rPr>
          <w:rFonts w:cs="Calibri"/>
          <w:b/>
          <w:bCs/>
        </w:rPr>
        <w:t>Eko</w:t>
      </w:r>
      <w:proofErr w:type="spellEnd"/>
      <w:r w:rsidRPr="004912AC">
        <w:rPr>
          <w:rFonts w:cs="Calibri"/>
          <w:b/>
          <w:bCs/>
        </w:rPr>
        <w:t xml:space="preserve"> </w:t>
      </w:r>
      <w:proofErr w:type="spellStart"/>
      <w:r w:rsidRPr="004912AC">
        <w:rPr>
          <w:rFonts w:cs="Calibri"/>
          <w:b/>
          <w:bCs/>
        </w:rPr>
        <w:t>Bi</w:t>
      </w:r>
      <w:proofErr w:type="spellEnd"/>
      <w:r w:rsidRPr="004912AC">
        <w:rPr>
          <w:rFonts w:cs="Calibri"/>
          <w:b/>
          <w:bCs/>
        </w:rPr>
        <w:t xml:space="preserve"> s.r.o.</w:t>
      </w:r>
    </w:p>
    <w:p w14:paraId="615FADDC" w14:textId="77777777" w:rsidR="00145B05" w:rsidRPr="004912AC" w:rsidRDefault="00145B05" w:rsidP="00145B05">
      <w:pPr>
        <w:spacing w:after="0"/>
        <w:rPr>
          <w:rFonts w:cs="Calibri"/>
        </w:rPr>
      </w:pPr>
      <w:r w:rsidRPr="004912AC">
        <w:rPr>
          <w:rFonts w:cs="Calibri"/>
        </w:rPr>
        <w:t>SE SÍDLEM:</w:t>
      </w:r>
      <w:r w:rsidRPr="004912AC">
        <w:rPr>
          <w:rFonts w:cs="Calibri"/>
        </w:rPr>
        <w:tab/>
      </w:r>
      <w:r w:rsidRPr="004912AC">
        <w:rPr>
          <w:rFonts w:cs="Calibri"/>
        </w:rPr>
        <w:tab/>
      </w:r>
      <w:proofErr w:type="spellStart"/>
      <w:r w:rsidRPr="004912AC">
        <w:rPr>
          <w:rFonts w:cs="Calibri"/>
        </w:rPr>
        <w:t>Semanínská</w:t>
      </w:r>
      <w:proofErr w:type="spellEnd"/>
      <w:r w:rsidRPr="004912AC">
        <w:rPr>
          <w:rFonts w:cs="Calibri"/>
        </w:rPr>
        <w:t xml:space="preserve"> 2050, 560 02 Česká Třebová</w:t>
      </w:r>
    </w:p>
    <w:p w14:paraId="2E9DBE18" w14:textId="77777777" w:rsidR="00145B05" w:rsidRPr="004912AC" w:rsidRDefault="00145B05" w:rsidP="00145B05">
      <w:pPr>
        <w:spacing w:after="0"/>
        <w:rPr>
          <w:rFonts w:cs="Calibri"/>
        </w:rPr>
      </w:pPr>
      <w:r w:rsidRPr="004912AC">
        <w:rPr>
          <w:rFonts w:cs="Calibri"/>
        </w:rPr>
        <w:t>IČ:</w:t>
      </w:r>
      <w:r w:rsidRPr="004912AC">
        <w:rPr>
          <w:rFonts w:cs="Calibri"/>
        </w:rPr>
        <w:tab/>
      </w:r>
      <w:r w:rsidRPr="004912AC">
        <w:rPr>
          <w:rFonts w:cs="Calibri"/>
        </w:rPr>
        <w:tab/>
      </w:r>
      <w:r w:rsidRPr="004912AC">
        <w:rPr>
          <w:rFonts w:cs="Calibri"/>
        </w:rPr>
        <w:tab/>
        <w:t>64827500</w:t>
      </w:r>
    </w:p>
    <w:p w14:paraId="74926B25" w14:textId="77777777" w:rsidR="00145B05" w:rsidRPr="004912AC" w:rsidRDefault="00145B05" w:rsidP="00145B05">
      <w:pPr>
        <w:spacing w:after="0"/>
        <w:rPr>
          <w:rFonts w:cs="Calibri"/>
        </w:rPr>
      </w:pPr>
      <w:r w:rsidRPr="004912AC">
        <w:rPr>
          <w:rFonts w:cs="Calibri"/>
        </w:rPr>
        <w:t>DIČ:</w:t>
      </w:r>
      <w:r w:rsidRPr="004912AC">
        <w:rPr>
          <w:rFonts w:cs="Calibri"/>
        </w:rPr>
        <w:tab/>
      </w:r>
      <w:r w:rsidRPr="004912AC">
        <w:rPr>
          <w:rFonts w:cs="Calibri"/>
        </w:rPr>
        <w:tab/>
      </w:r>
      <w:r w:rsidRPr="004912AC">
        <w:rPr>
          <w:rFonts w:cs="Calibri"/>
        </w:rPr>
        <w:tab/>
        <w:t>CZ64827500</w:t>
      </w:r>
    </w:p>
    <w:p w14:paraId="30254EC6" w14:textId="77777777" w:rsidR="00145B05" w:rsidRPr="004912AC" w:rsidRDefault="00145B05" w:rsidP="00145B05">
      <w:pPr>
        <w:spacing w:after="0"/>
        <w:rPr>
          <w:rFonts w:cs="Calibri"/>
        </w:rPr>
      </w:pPr>
      <w:r w:rsidRPr="004912AC">
        <w:rPr>
          <w:rFonts w:cs="Calibri"/>
        </w:rPr>
        <w:t>zapsaná v Obchodním rejstříku vedeném Krajským soudem v Hradci Králové, oddíl C, vložka 9386.</w:t>
      </w:r>
    </w:p>
    <w:p w14:paraId="224BBDCD" w14:textId="77777777" w:rsidR="00145B05" w:rsidRPr="004912AC" w:rsidRDefault="00145B05" w:rsidP="00145B05">
      <w:pPr>
        <w:spacing w:after="0"/>
        <w:rPr>
          <w:rFonts w:cs="Calibri"/>
        </w:rPr>
      </w:pPr>
      <w:r w:rsidRPr="004912AC">
        <w:rPr>
          <w:rFonts w:cs="Calibri"/>
        </w:rPr>
        <w:t>ZASTOUPENÁ:</w:t>
      </w:r>
      <w:r w:rsidRPr="004912AC">
        <w:rPr>
          <w:rFonts w:cs="Calibri"/>
        </w:rPr>
        <w:tab/>
      </w:r>
      <w:r w:rsidRPr="004912AC">
        <w:rPr>
          <w:rFonts w:cs="Calibri"/>
        </w:rPr>
        <w:tab/>
      </w:r>
      <w:r w:rsidRPr="004912AC">
        <w:rPr>
          <w:rFonts w:cs="Calibri"/>
          <w:b/>
          <w:bCs/>
        </w:rPr>
        <w:t>Zdeněk Řehák, jednatel</w:t>
      </w:r>
    </w:p>
    <w:p w14:paraId="4EBD19F8" w14:textId="77777777" w:rsidR="00145B05" w:rsidRPr="004912AC" w:rsidRDefault="00145B05" w:rsidP="00145B05">
      <w:pPr>
        <w:spacing w:after="0"/>
        <w:rPr>
          <w:rFonts w:cs="Calibri"/>
          <w:b/>
        </w:rPr>
      </w:pPr>
      <w:r w:rsidRPr="004912AC">
        <w:rPr>
          <w:rFonts w:cs="Calibri"/>
        </w:rPr>
        <w:t>Za společnost jedná jednatel tak, že k obchodnímu jménu společnosti připojí svůj podpis s dodatkem jednatel.</w:t>
      </w:r>
    </w:p>
    <w:p w14:paraId="19B64E13" w14:textId="5B0C9CA3" w:rsidR="00324867" w:rsidRPr="00B23E17" w:rsidRDefault="00324867" w:rsidP="00324867">
      <w:pPr>
        <w:spacing w:after="0"/>
        <w:rPr>
          <w:rFonts w:cs="Segoe UI"/>
          <w:szCs w:val="18"/>
        </w:rPr>
      </w:pPr>
      <w:r w:rsidRPr="00A92D0E">
        <w:rPr>
          <w:rFonts w:cs="Segoe UI"/>
          <w:szCs w:val="18"/>
        </w:rPr>
        <w:t>BANKOVNÍ SPOJENÍ:</w:t>
      </w:r>
      <w:r w:rsidRPr="00A92D0E">
        <w:rPr>
          <w:rFonts w:cs="Segoe UI"/>
          <w:szCs w:val="18"/>
        </w:rPr>
        <w:tab/>
      </w:r>
      <w:r w:rsidRPr="00B23E17">
        <w:rPr>
          <w:rFonts w:cs="Segoe UI"/>
          <w:szCs w:val="18"/>
        </w:rPr>
        <w:t>ČSOB, a.s. pobočka Česká Třebová</w:t>
      </w:r>
    </w:p>
    <w:p w14:paraId="01DDE3A8" w14:textId="77777777" w:rsidR="00324867" w:rsidRPr="00B23E17" w:rsidRDefault="00324867" w:rsidP="00324867">
      <w:pPr>
        <w:spacing w:after="0"/>
        <w:rPr>
          <w:rFonts w:cs="Segoe UI"/>
          <w:szCs w:val="18"/>
        </w:rPr>
      </w:pPr>
      <w:r w:rsidRPr="00B23E17">
        <w:rPr>
          <w:rFonts w:cs="Segoe UI"/>
          <w:szCs w:val="18"/>
        </w:rPr>
        <w:t>ČÍSLO ÚČTU:</w:t>
      </w:r>
      <w:r w:rsidRPr="00B23E17">
        <w:rPr>
          <w:rFonts w:cs="Segoe UI"/>
          <w:szCs w:val="18"/>
        </w:rPr>
        <w:tab/>
      </w:r>
      <w:r w:rsidRPr="00B23E17">
        <w:rPr>
          <w:rFonts w:cs="Segoe UI"/>
          <w:szCs w:val="18"/>
        </w:rPr>
        <w:tab/>
        <w:t>212186601 / 0300</w:t>
      </w:r>
    </w:p>
    <w:p w14:paraId="387352B6" w14:textId="77777777" w:rsidR="00324867" w:rsidRPr="00B23E17" w:rsidRDefault="00324867" w:rsidP="00324867">
      <w:pPr>
        <w:spacing w:after="0"/>
        <w:rPr>
          <w:rFonts w:cs="Segoe UI"/>
          <w:szCs w:val="18"/>
        </w:rPr>
      </w:pPr>
      <w:r w:rsidRPr="00B23E17">
        <w:rPr>
          <w:rFonts w:cs="Segoe UI"/>
          <w:szCs w:val="18"/>
        </w:rPr>
        <w:t>OSOBY OPRÁVNĚNÉ JEDNAT VE VĚCECH OBCHODNÍCH:</w:t>
      </w:r>
      <w:r w:rsidRPr="00B23E17">
        <w:rPr>
          <w:rFonts w:cs="Segoe UI"/>
          <w:szCs w:val="18"/>
        </w:rPr>
        <w:tab/>
      </w:r>
    </w:p>
    <w:p w14:paraId="3B38F02E" w14:textId="77777777" w:rsidR="00324867" w:rsidRPr="00B23E17" w:rsidRDefault="00324867" w:rsidP="00324867">
      <w:pPr>
        <w:spacing w:after="0"/>
        <w:rPr>
          <w:rFonts w:cs="Segoe UI"/>
          <w:b/>
          <w:szCs w:val="18"/>
        </w:rPr>
      </w:pPr>
      <w:r w:rsidRPr="00B23E17">
        <w:rPr>
          <w:rFonts w:cs="Segoe UI"/>
          <w:szCs w:val="18"/>
        </w:rPr>
        <w:tab/>
      </w:r>
      <w:r w:rsidRPr="00B23E17">
        <w:rPr>
          <w:rFonts w:cs="Segoe UI"/>
          <w:szCs w:val="18"/>
        </w:rPr>
        <w:tab/>
      </w:r>
      <w:r w:rsidRPr="00B23E17">
        <w:rPr>
          <w:rFonts w:cs="Segoe UI"/>
          <w:szCs w:val="18"/>
        </w:rPr>
        <w:tab/>
        <w:t>Zdeněk Řehák, jednatel společnosti</w:t>
      </w:r>
    </w:p>
    <w:p w14:paraId="1262D9F3" w14:textId="77777777" w:rsidR="00324867" w:rsidRPr="00B23E17" w:rsidRDefault="00324867" w:rsidP="00324867">
      <w:pPr>
        <w:spacing w:after="0"/>
        <w:rPr>
          <w:rFonts w:cs="Segoe UI"/>
          <w:szCs w:val="18"/>
        </w:rPr>
      </w:pPr>
      <w:r w:rsidRPr="00B23E17">
        <w:rPr>
          <w:rFonts w:cs="Segoe UI"/>
          <w:szCs w:val="18"/>
        </w:rPr>
        <w:t>TELEFON:</w:t>
      </w:r>
      <w:r w:rsidRPr="00B23E17">
        <w:rPr>
          <w:rFonts w:cs="Segoe UI"/>
          <w:szCs w:val="18"/>
        </w:rPr>
        <w:tab/>
      </w:r>
      <w:r w:rsidRPr="00B23E17">
        <w:rPr>
          <w:rFonts w:cs="Segoe UI"/>
          <w:szCs w:val="18"/>
        </w:rPr>
        <w:tab/>
        <w:t>+420 731 125 802</w:t>
      </w:r>
    </w:p>
    <w:p w14:paraId="754FEC75" w14:textId="77777777" w:rsidR="00324867" w:rsidRPr="00B23E17" w:rsidRDefault="00324867" w:rsidP="00324867">
      <w:pPr>
        <w:spacing w:after="0"/>
        <w:rPr>
          <w:rFonts w:cs="Segoe UI"/>
          <w:szCs w:val="18"/>
        </w:rPr>
      </w:pPr>
      <w:r w:rsidRPr="00B23E17">
        <w:rPr>
          <w:rFonts w:cs="Segoe UI"/>
          <w:szCs w:val="18"/>
        </w:rPr>
        <w:t>E-MAIL:</w:t>
      </w:r>
      <w:r w:rsidRPr="00B23E17">
        <w:rPr>
          <w:rFonts w:cs="Segoe UI"/>
          <w:szCs w:val="18"/>
        </w:rPr>
        <w:tab/>
      </w:r>
      <w:r w:rsidRPr="00B23E17">
        <w:rPr>
          <w:rFonts w:cs="Segoe UI"/>
          <w:szCs w:val="18"/>
        </w:rPr>
        <w:tab/>
      </w:r>
      <w:r w:rsidRPr="00B23E17">
        <w:rPr>
          <w:rFonts w:cs="Segoe UI"/>
          <w:szCs w:val="18"/>
        </w:rPr>
        <w:tab/>
        <w:t>zdenek.rehak@ekovi.cz</w:t>
      </w:r>
    </w:p>
    <w:p w14:paraId="162F32A7" w14:textId="77777777" w:rsidR="00324867" w:rsidRPr="00B23E17" w:rsidRDefault="00324867" w:rsidP="00324867">
      <w:pPr>
        <w:spacing w:after="0"/>
        <w:rPr>
          <w:rFonts w:cs="Segoe UI"/>
          <w:szCs w:val="18"/>
        </w:rPr>
      </w:pPr>
      <w:r w:rsidRPr="00B23E17">
        <w:rPr>
          <w:rFonts w:cs="Segoe UI"/>
          <w:szCs w:val="18"/>
        </w:rPr>
        <w:t>OSOBY OPRÁVNĚNÉ JEDNAT VE VĚCECH TECHNICKÝCH:</w:t>
      </w:r>
    </w:p>
    <w:p w14:paraId="2BB6E4BF" w14:textId="77777777" w:rsidR="00324867" w:rsidRPr="00B23E17" w:rsidRDefault="00324867" w:rsidP="00324867">
      <w:pPr>
        <w:spacing w:after="0"/>
        <w:rPr>
          <w:rFonts w:cs="Segoe UI"/>
          <w:b/>
          <w:szCs w:val="18"/>
        </w:rPr>
      </w:pPr>
      <w:r w:rsidRPr="00B23E17">
        <w:rPr>
          <w:rFonts w:cs="Segoe UI"/>
          <w:szCs w:val="18"/>
        </w:rPr>
        <w:tab/>
      </w:r>
      <w:r w:rsidRPr="00B23E17">
        <w:rPr>
          <w:rFonts w:cs="Segoe UI"/>
          <w:szCs w:val="18"/>
        </w:rPr>
        <w:tab/>
      </w:r>
      <w:r w:rsidRPr="00B23E17">
        <w:rPr>
          <w:rFonts w:cs="Segoe UI"/>
          <w:szCs w:val="18"/>
        </w:rPr>
        <w:tab/>
        <w:t>Petr Baláž, vedoucí krytého plaveckého bazénu</w:t>
      </w:r>
    </w:p>
    <w:p w14:paraId="22723015" w14:textId="77777777" w:rsidR="00324867" w:rsidRPr="00B23E17" w:rsidRDefault="00324867" w:rsidP="00324867">
      <w:pPr>
        <w:spacing w:after="0"/>
        <w:rPr>
          <w:rFonts w:cs="Calibri"/>
        </w:rPr>
      </w:pPr>
      <w:r w:rsidRPr="00B23E17">
        <w:rPr>
          <w:rFonts w:cs="Segoe UI"/>
          <w:szCs w:val="18"/>
        </w:rPr>
        <w:t>TELEFON:</w:t>
      </w:r>
      <w:r w:rsidRPr="00B23E17">
        <w:rPr>
          <w:rFonts w:cs="Segoe UI"/>
          <w:szCs w:val="18"/>
        </w:rPr>
        <w:tab/>
      </w:r>
      <w:r w:rsidRPr="00B23E17">
        <w:rPr>
          <w:rFonts w:cs="Segoe UI"/>
          <w:szCs w:val="18"/>
        </w:rPr>
        <w:tab/>
      </w:r>
      <w:r w:rsidRPr="00B23E17">
        <w:rPr>
          <w:rFonts w:cs="Calibri"/>
        </w:rPr>
        <w:t xml:space="preserve">+420 603 995 184 </w:t>
      </w:r>
    </w:p>
    <w:p w14:paraId="11AB4E0E" w14:textId="0DE200FE" w:rsidR="00324867" w:rsidRPr="00A92D0E" w:rsidRDefault="00324867" w:rsidP="00324867">
      <w:pPr>
        <w:spacing w:after="0"/>
        <w:rPr>
          <w:rFonts w:cs="Segoe UI"/>
          <w:szCs w:val="18"/>
        </w:rPr>
      </w:pPr>
      <w:r w:rsidRPr="00B23E17">
        <w:rPr>
          <w:rFonts w:cs="Segoe UI"/>
          <w:szCs w:val="18"/>
        </w:rPr>
        <w:t>E-MAIL:</w:t>
      </w:r>
      <w:r w:rsidRPr="00B23E17">
        <w:rPr>
          <w:rFonts w:cs="Segoe UI"/>
          <w:szCs w:val="18"/>
        </w:rPr>
        <w:tab/>
      </w:r>
      <w:r w:rsidRPr="00B23E17">
        <w:rPr>
          <w:rFonts w:cs="Segoe UI"/>
          <w:szCs w:val="18"/>
        </w:rPr>
        <w:tab/>
      </w:r>
      <w:r w:rsidRPr="00B23E17">
        <w:rPr>
          <w:rFonts w:cs="Segoe UI"/>
          <w:szCs w:val="18"/>
        </w:rPr>
        <w:tab/>
        <w:t>petr.balaz@ekobi.cz</w:t>
      </w:r>
    </w:p>
    <w:p w14:paraId="35CE11C3" w14:textId="77777777" w:rsidR="00771E24" w:rsidRPr="00AF25FC" w:rsidRDefault="00771E24" w:rsidP="000E744F">
      <w:pPr>
        <w:spacing w:before="240" w:after="0"/>
        <w:rPr>
          <w:b/>
        </w:rPr>
      </w:pPr>
      <w:r>
        <w:rPr>
          <w:b/>
        </w:rPr>
        <w:t>dále jen „</w:t>
      </w:r>
      <w:r w:rsidR="006F342E">
        <w:rPr>
          <w:b/>
        </w:rPr>
        <w:t>O</w:t>
      </w:r>
      <w:r w:rsidR="00F91726">
        <w:rPr>
          <w:b/>
        </w:rPr>
        <w:t>dběratel</w:t>
      </w:r>
      <w:r>
        <w:rPr>
          <w:b/>
        </w:rPr>
        <w:t>“</w:t>
      </w:r>
    </w:p>
    <w:p w14:paraId="3D8C37D0" w14:textId="77777777" w:rsidR="001673E1" w:rsidRDefault="00771E24" w:rsidP="00771E24">
      <w:r w:rsidRPr="00B47C96">
        <w:rPr>
          <w:b/>
        </w:rPr>
        <w:t>dále společně také jen „smluvní strany“</w:t>
      </w:r>
    </w:p>
    <w:p w14:paraId="4745F576" w14:textId="77777777" w:rsidR="00252A66" w:rsidRDefault="00B47C96" w:rsidP="00252A66">
      <w:pPr>
        <w:pStyle w:val="Podtitul"/>
      </w:pPr>
      <w:r>
        <w:br w:type="page"/>
      </w:r>
      <w:r w:rsidR="00252A66">
        <w:lastRenderedPageBreak/>
        <w:t>dnešního dne uzavřely následující</w:t>
      </w:r>
    </w:p>
    <w:p w14:paraId="61E693F8" w14:textId="77777777" w:rsidR="00252A66" w:rsidRDefault="00A14A03" w:rsidP="00252A66">
      <w:pPr>
        <w:pStyle w:val="Nadpis1"/>
      </w:pPr>
      <w:r>
        <w:t>smlouva o dodávce tepelné energie</w:t>
      </w:r>
    </w:p>
    <w:p w14:paraId="65C784B5" w14:textId="77777777" w:rsidR="00252A66" w:rsidRDefault="00252A66" w:rsidP="00804789">
      <w:pPr>
        <w:pStyle w:val="Podtitul"/>
      </w:pPr>
      <w:r>
        <w:t>(dále jen „smlouva“)</w:t>
      </w:r>
    </w:p>
    <w:p w14:paraId="323AF802" w14:textId="77777777" w:rsidR="00E6442E" w:rsidRDefault="00E6442E" w:rsidP="00666A20">
      <w:pPr>
        <w:pStyle w:val="Nadpis2"/>
        <w:numPr>
          <w:ilvl w:val="0"/>
          <w:numId w:val="4"/>
        </w:numPr>
        <w:spacing w:after="0"/>
      </w:pPr>
      <w:bookmarkStart w:id="0" w:name="_Ref308949088"/>
    </w:p>
    <w:p w14:paraId="1B493FEB" w14:textId="77777777" w:rsidR="00460B2C" w:rsidRDefault="00BE682B" w:rsidP="00E6442E">
      <w:pPr>
        <w:pStyle w:val="Nadpis2"/>
        <w:spacing w:before="0"/>
      </w:pPr>
      <w:r>
        <w:t>PREAMBULE</w:t>
      </w:r>
    </w:p>
    <w:p w14:paraId="39681802" w14:textId="77777777" w:rsidR="00345F41" w:rsidRPr="00345F41" w:rsidRDefault="006F342E" w:rsidP="00345F41">
      <w:pPr>
        <w:numPr>
          <w:ilvl w:val="0"/>
          <w:numId w:val="2"/>
        </w:numPr>
        <w:ind w:left="426" w:hanging="426"/>
      </w:pPr>
      <w:r w:rsidRPr="006F342E">
        <w:t xml:space="preserve">Odběratel </w:t>
      </w:r>
      <w:bookmarkStart w:id="1" w:name="_Hlk69467683"/>
      <w:r w:rsidR="00345F41" w:rsidRPr="00345F41">
        <w:rPr>
          <w:rFonts w:cs="Calibri"/>
        </w:rPr>
        <w:t>je vlastníkem následujících nemovitostí (dále pouze „</w:t>
      </w:r>
      <w:r w:rsidR="00345F41" w:rsidRPr="00345F41">
        <w:rPr>
          <w:rFonts w:cs="Calibri"/>
          <w:b/>
          <w:i/>
        </w:rPr>
        <w:t>Nemovitosti</w:t>
      </w:r>
      <w:r w:rsidR="00345F41" w:rsidRPr="00345F41">
        <w:rPr>
          <w:rFonts w:cs="Calibri"/>
        </w:rPr>
        <w:t>“) zapsaných</w:t>
      </w:r>
      <w:r w:rsidR="00345F41">
        <w:rPr>
          <w:rFonts w:cs="Calibri"/>
        </w:rPr>
        <w:t xml:space="preserve"> </w:t>
      </w:r>
      <w:r w:rsidR="00345F41" w:rsidRPr="00345F41">
        <w:rPr>
          <w:rFonts w:cs="Calibri"/>
        </w:rPr>
        <w:t>u Katastrálního úřadu pro Pardubický kraj, katastrální pracoviště Ústí nad Orlicí na LV 5684 pro obec Česká Třebová, katastrální území Parník:</w:t>
      </w:r>
    </w:p>
    <w:p w14:paraId="3DD78666" w14:textId="77777777" w:rsidR="00345F41" w:rsidRPr="004912AC" w:rsidRDefault="00345F41" w:rsidP="00345F41">
      <w:pPr>
        <w:numPr>
          <w:ilvl w:val="0"/>
          <w:numId w:val="23"/>
        </w:numPr>
        <w:tabs>
          <w:tab w:val="left" w:pos="851"/>
        </w:tabs>
        <w:ind w:left="851" w:hanging="425"/>
        <w:rPr>
          <w:rFonts w:cs="Calibri"/>
        </w:rPr>
      </w:pPr>
      <w:r w:rsidRPr="004912AC">
        <w:rPr>
          <w:rFonts w:cs="Calibri"/>
        </w:rPr>
        <w:t xml:space="preserve">pozemku stavební parcela č. 1017 </w:t>
      </w:r>
      <w:r w:rsidRPr="004912AC">
        <w:t xml:space="preserve">včetně budovy bez č. p./č. e. tvořící součást uvedeného pozemku (tato budova se dále označuje také jen jako </w:t>
      </w:r>
      <w:r w:rsidRPr="004912AC">
        <w:rPr>
          <w:rFonts w:cs="Calibri"/>
        </w:rPr>
        <w:t>„</w:t>
      </w:r>
      <w:r w:rsidRPr="004912AC">
        <w:rPr>
          <w:rFonts w:cs="Calibri"/>
          <w:b/>
          <w:i/>
        </w:rPr>
        <w:t>Budova</w:t>
      </w:r>
      <w:r w:rsidRPr="004912AC">
        <w:rPr>
          <w:rFonts w:cs="Calibri"/>
        </w:rPr>
        <w:t>“);</w:t>
      </w:r>
    </w:p>
    <w:p w14:paraId="104BCB21" w14:textId="77777777" w:rsidR="00345F41" w:rsidRPr="004912AC" w:rsidRDefault="00345F41" w:rsidP="00345F41">
      <w:pPr>
        <w:numPr>
          <w:ilvl w:val="0"/>
          <w:numId w:val="23"/>
        </w:numPr>
        <w:tabs>
          <w:tab w:val="left" w:pos="851"/>
        </w:tabs>
        <w:ind w:left="851" w:hanging="425"/>
        <w:rPr>
          <w:rFonts w:cs="Calibri"/>
        </w:rPr>
      </w:pPr>
      <w:r w:rsidRPr="004912AC">
        <w:rPr>
          <w:rFonts w:cs="Calibri"/>
        </w:rPr>
        <w:t xml:space="preserve">pozemku pozemková parcela č. 626/3 </w:t>
      </w:r>
      <w:r w:rsidRPr="004912AC">
        <w:t>(tento pozemek se dále označuje také jen jako „</w:t>
      </w:r>
      <w:r w:rsidRPr="004912AC">
        <w:rPr>
          <w:b/>
          <w:i/>
        </w:rPr>
        <w:t>Pozemek</w:t>
      </w:r>
      <w:r w:rsidRPr="004912AC">
        <w:t>“</w:t>
      </w:r>
      <w:r w:rsidRPr="004912AC">
        <w:rPr>
          <w:rFonts w:cs="Calibri"/>
        </w:rPr>
        <w:t>;</w:t>
      </w:r>
    </w:p>
    <w:bookmarkEnd w:id="1"/>
    <w:p w14:paraId="37C2BBED" w14:textId="40C58B9A" w:rsidR="00441A7C" w:rsidRPr="00441A7C" w:rsidRDefault="00345F41" w:rsidP="00D7616D">
      <w:pPr>
        <w:numPr>
          <w:ilvl w:val="0"/>
          <w:numId w:val="2"/>
        </w:numPr>
        <w:ind w:left="426" w:hanging="426"/>
      </w:pPr>
      <w:r w:rsidRPr="006F342E">
        <w:t>Odběratel</w:t>
      </w:r>
      <w:r w:rsidRPr="00345F41">
        <w:rPr>
          <w:rFonts w:cs="Calibri"/>
        </w:rPr>
        <w:t xml:space="preserve"> je současně vlastníkem souboru nemovitých a movitých věcí sloužících pro výrobu tepla a centrální </w:t>
      </w:r>
      <w:r w:rsidRPr="00345F41">
        <w:rPr>
          <w:szCs w:val="18"/>
        </w:rPr>
        <w:t>zásobování teplem v areálu krytého plaveckého bazénu v České Třebové, tvořícího te</w:t>
      </w:r>
      <w:r>
        <w:rPr>
          <w:szCs w:val="18"/>
        </w:rPr>
        <w:t>c</w:t>
      </w:r>
      <w:r w:rsidRPr="00345F41">
        <w:rPr>
          <w:szCs w:val="18"/>
        </w:rPr>
        <w:t>hnologii kotelny uvedeného plaveckého bazénu</w:t>
      </w:r>
      <w:r w:rsidR="00D7616D">
        <w:rPr>
          <w:szCs w:val="18"/>
        </w:rPr>
        <w:t>, který</w:t>
      </w:r>
      <w:r w:rsidR="00D7616D" w:rsidRPr="00EF0ED5">
        <w:rPr>
          <w:szCs w:val="18"/>
        </w:rPr>
        <w:t xml:space="preserve"> se ke dni podpisu této smlouvy skládá z</w:t>
      </w:r>
      <w:r w:rsidR="00D7616D">
        <w:t xml:space="preserve"> </w:t>
      </w:r>
      <w:r w:rsidR="00D7616D" w:rsidRPr="00D32C36">
        <w:t xml:space="preserve">částí Budovy tvořících prostor kotelny </w:t>
      </w:r>
      <w:r w:rsidR="00D7616D">
        <w:t xml:space="preserve">a </w:t>
      </w:r>
      <w:r w:rsidR="00D7616D" w:rsidRPr="00D32C36">
        <w:rPr>
          <w:szCs w:val="18"/>
        </w:rPr>
        <w:t>movitého majetku</w:t>
      </w:r>
      <w:r w:rsidR="0091061C" w:rsidRPr="00D40030">
        <w:rPr>
          <w:szCs w:val="18"/>
        </w:rPr>
        <w:t xml:space="preserve">, </w:t>
      </w:r>
      <w:r w:rsidR="0091061C" w:rsidRPr="00D40030">
        <w:t>(včetně komínu</w:t>
      </w:r>
      <w:r w:rsidR="0091061C" w:rsidRPr="00D40030">
        <w:rPr>
          <w:szCs w:val="18"/>
        </w:rPr>
        <w:t xml:space="preserve"> </w:t>
      </w:r>
      <w:r w:rsidR="0091061C" w:rsidRPr="00D40030">
        <w:t>a rozdělovače a sběrače, včetně oběhových čerpadel a armatur)</w:t>
      </w:r>
      <w:r w:rsidR="00D7616D" w:rsidRPr="00D40030">
        <w:rPr>
          <w:szCs w:val="18"/>
        </w:rPr>
        <w:t>,</w:t>
      </w:r>
      <w:r w:rsidR="00D7616D" w:rsidRPr="00D32C36">
        <w:rPr>
          <w:szCs w:val="18"/>
        </w:rPr>
        <w:t xml:space="preserve"> </w:t>
      </w:r>
      <w:r w:rsidR="00D7616D">
        <w:rPr>
          <w:szCs w:val="18"/>
        </w:rPr>
        <w:t xml:space="preserve">to vše dle specifikace </w:t>
      </w:r>
      <w:r w:rsidR="00D7616D" w:rsidRPr="00D32C36">
        <w:rPr>
          <w:szCs w:val="18"/>
        </w:rPr>
        <w:t>uveden</w:t>
      </w:r>
      <w:r w:rsidR="00D7616D">
        <w:rPr>
          <w:szCs w:val="18"/>
        </w:rPr>
        <w:t>é</w:t>
      </w:r>
      <w:r w:rsidR="00D7616D" w:rsidRPr="00D32C36">
        <w:rPr>
          <w:szCs w:val="18"/>
        </w:rPr>
        <w:t xml:space="preserve"> v příloze č. 1 </w:t>
      </w:r>
      <w:r w:rsidR="00D7616D">
        <w:rPr>
          <w:szCs w:val="18"/>
        </w:rPr>
        <w:t>Pachtovní</w:t>
      </w:r>
      <w:r w:rsidR="00D7616D" w:rsidRPr="00D32C36">
        <w:rPr>
          <w:szCs w:val="18"/>
        </w:rPr>
        <w:t xml:space="preserve"> smlouvy</w:t>
      </w:r>
      <w:r w:rsidR="00D7616D">
        <w:rPr>
          <w:szCs w:val="18"/>
        </w:rPr>
        <w:t xml:space="preserve"> </w:t>
      </w:r>
      <w:r w:rsidR="00D7616D" w:rsidRPr="004912AC">
        <w:rPr>
          <w:szCs w:val="18"/>
        </w:rPr>
        <w:t>(</w:t>
      </w:r>
      <w:r w:rsidR="00D7616D">
        <w:rPr>
          <w:szCs w:val="18"/>
        </w:rPr>
        <w:t xml:space="preserve">tento soubor nemovitých a movitých věcí </w:t>
      </w:r>
      <w:r w:rsidR="00D7616D" w:rsidRPr="004912AC">
        <w:rPr>
          <w:szCs w:val="18"/>
        </w:rPr>
        <w:t xml:space="preserve">dále </w:t>
      </w:r>
      <w:r w:rsidR="00D7616D">
        <w:rPr>
          <w:szCs w:val="18"/>
        </w:rPr>
        <w:t>jen</w:t>
      </w:r>
      <w:r w:rsidR="00D7616D" w:rsidRPr="004912AC">
        <w:rPr>
          <w:szCs w:val="18"/>
        </w:rPr>
        <w:t xml:space="preserve"> „</w:t>
      </w:r>
      <w:r w:rsidR="00D7616D" w:rsidRPr="00923AE5">
        <w:rPr>
          <w:b/>
          <w:bCs/>
          <w:i/>
          <w:iCs/>
          <w:szCs w:val="18"/>
        </w:rPr>
        <w:t xml:space="preserve">Stávající </w:t>
      </w:r>
      <w:r w:rsidR="00D7616D">
        <w:rPr>
          <w:b/>
          <w:i/>
          <w:szCs w:val="18"/>
        </w:rPr>
        <w:t>kotelna</w:t>
      </w:r>
      <w:r w:rsidR="00D7616D" w:rsidRPr="004912AC">
        <w:rPr>
          <w:szCs w:val="18"/>
        </w:rPr>
        <w:t>“)</w:t>
      </w:r>
      <w:r w:rsidR="00441A7C">
        <w:rPr>
          <w:szCs w:val="18"/>
        </w:rPr>
        <w:t>.</w:t>
      </w:r>
    </w:p>
    <w:p w14:paraId="3A286900" w14:textId="7C9A7B5C" w:rsidR="00441A7C" w:rsidRPr="00441A7C" w:rsidRDefault="00441A7C" w:rsidP="00D7616D">
      <w:pPr>
        <w:numPr>
          <w:ilvl w:val="0"/>
          <w:numId w:val="2"/>
        </w:numPr>
        <w:ind w:left="426" w:hanging="426"/>
      </w:pPr>
      <w:r>
        <w:t>D</w:t>
      </w:r>
      <w:r w:rsidRPr="006119BD">
        <w:t>odavatel je společností, podnikající mimo jiné v oblasti výroby a dodávek tepelné energie, a to zejména ze zdrojů kombinované výroby elektrické energie a tepla (dále pouze „</w:t>
      </w:r>
      <w:r w:rsidRPr="006119BD">
        <w:rPr>
          <w:b/>
          <w:i/>
        </w:rPr>
        <w:t>Zdroj KVET</w:t>
      </w:r>
      <w:r w:rsidRPr="006119BD">
        <w:t xml:space="preserve">“). </w:t>
      </w:r>
      <w:r>
        <w:t>O</w:t>
      </w:r>
      <w:r w:rsidRPr="006119BD">
        <w:t xml:space="preserve">dběratel má zájem o </w:t>
      </w:r>
      <w:r>
        <w:t xml:space="preserve">spolehlivé </w:t>
      </w:r>
      <w:r w:rsidRPr="006119BD">
        <w:t>dodávky tepelné energie</w:t>
      </w:r>
      <w:r>
        <w:t xml:space="preserve"> a potažmo elektřiny</w:t>
      </w:r>
      <w:r w:rsidRPr="006119BD">
        <w:t xml:space="preserve"> a </w:t>
      </w:r>
      <w:r>
        <w:t>D</w:t>
      </w:r>
      <w:r w:rsidRPr="006119BD">
        <w:t xml:space="preserve">odavatel má zájem </w:t>
      </w:r>
      <w:r>
        <w:t xml:space="preserve">dodávat Odběrateli </w:t>
      </w:r>
      <w:r w:rsidRPr="006119BD">
        <w:t>tepelnou energii</w:t>
      </w:r>
      <w:r>
        <w:t xml:space="preserve"> a potažmo elektřinu</w:t>
      </w:r>
      <w:r w:rsidRPr="006119BD">
        <w:t>.</w:t>
      </w:r>
    </w:p>
    <w:p w14:paraId="7805353D" w14:textId="736CAA0D" w:rsidR="00345F41" w:rsidRPr="004912AC" w:rsidRDefault="00441A7C" w:rsidP="00D21808">
      <w:pPr>
        <w:numPr>
          <w:ilvl w:val="0"/>
          <w:numId w:val="2"/>
        </w:numPr>
        <w:ind w:left="426" w:hanging="426"/>
        <w:rPr>
          <w:rFonts w:cs="Segoe UI"/>
          <w:szCs w:val="18"/>
        </w:rPr>
      </w:pPr>
      <w:r>
        <w:rPr>
          <w:szCs w:val="18"/>
        </w:rPr>
        <w:t xml:space="preserve">Stávající kotelna </w:t>
      </w:r>
      <w:r w:rsidRPr="004912AC">
        <w:t xml:space="preserve">pro účely </w:t>
      </w:r>
      <w:r>
        <w:t xml:space="preserve">zajištění spolehlivých dodávek tepelné energie do areálu krytého plaveckého bazénu v České Třebové vyžaduje </w:t>
      </w:r>
      <w:r w:rsidRPr="004912AC">
        <w:t xml:space="preserve">nezbytné vynaložení finančních prostředků do </w:t>
      </w:r>
      <w:r>
        <w:t xml:space="preserve">její </w:t>
      </w:r>
      <w:r w:rsidRPr="004912AC">
        <w:t>modernizace, rekonstrukce a renovace (vše dále pouze „</w:t>
      </w:r>
      <w:r w:rsidRPr="004912AC">
        <w:rPr>
          <w:b/>
          <w:i/>
        </w:rPr>
        <w:t>Rekonstrukce</w:t>
      </w:r>
      <w:r w:rsidRPr="004912AC">
        <w:t>“)</w:t>
      </w:r>
      <w:r>
        <w:t xml:space="preserve"> to vše v rozsahu uvedeném v čl. I. odst. 5 písm. a) Pachtovní smlouvy, tj. dle </w:t>
      </w:r>
      <w:r w:rsidRPr="00B94E4E">
        <w:rPr>
          <w:szCs w:val="18"/>
        </w:rPr>
        <w:t xml:space="preserve">projektové dokumentace </w:t>
      </w:r>
      <w:r w:rsidR="00B94E4E">
        <w:rPr>
          <w:szCs w:val="18"/>
        </w:rPr>
        <w:t>zpracované Jiří Kamenický, únor/2019</w:t>
      </w:r>
      <w:r w:rsidRPr="004912AC">
        <w:t xml:space="preserve"> (dále jen „</w:t>
      </w:r>
      <w:r w:rsidRPr="004912AC">
        <w:rPr>
          <w:b/>
          <w:bCs/>
          <w:i/>
          <w:iCs/>
        </w:rPr>
        <w:t>Projektová dokumentace</w:t>
      </w:r>
      <w:r w:rsidRPr="00D40030">
        <w:t>“)</w:t>
      </w:r>
      <w:r w:rsidRPr="00D40030">
        <w:rPr>
          <w:szCs w:val="18"/>
        </w:rPr>
        <w:t xml:space="preserve">,  technické zprávy, která tvoří přílohu č. </w:t>
      </w:r>
      <w:r w:rsidR="00FB4658">
        <w:rPr>
          <w:szCs w:val="18"/>
        </w:rPr>
        <w:t>1</w:t>
      </w:r>
      <w:r w:rsidRPr="00D40030">
        <w:rPr>
          <w:szCs w:val="18"/>
        </w:rPr>
        <w:t xml:space="preserve"> Pachtovní smlouvy a stavebního povolení </w:t>
      </w:r>
      <w:r w:rsidR="00B94E4E">
        <w:rPr>
          <w:szCs w:val="18"/>
        </w:rPr>
        <w:br/>
      </w:r>
      <w:r w:rsidRPr="00D40030">
        <w:rPr>
          <w:szCs w:val="18"/>
        </w:rPr>
        <w:t xml:space="preserve">č.j. </w:t>
      </w:r>
      <w:r w:rsidR="008E4FB4" w:rsidRPr="00D40030">
        <w:rPr>
          <w:szCs w:val="18"/>
        </w:rPr>
        <w:t>MUCT/9573/2021/VYS/JMK/STP/9-5</w:t>
      </w:r>
      <w:r w:rsidRPr="00D40030">
        <w:t>, které nabylo právní moci dne</w:t>
      </w:r>
      <w:r w:rsidR="008E4FB4" w:rsidRPr="00D40030">
        <w:t xml:space="preserve"> 26.6.2021</w:t>
      </w:r>
      <w:r w:rsidRPr="00D40030">
        <w:t xml:space="preserve"> a které tvoří přílohu č. </w:t>
      </w:r>
      <w:r w:rsidR="00FB4658">
        <w:t>2</w:t>
      </w:r>
      <w:r w:rsidRPr="00D40030">
        <w:t xml:space="preserve"> Pachtovní smlouvy</w:t>
      </w:r>
      <w:r w:rsidRPr="00D40030">
        <w:rPr>
          <w:szCs w:val="18"/>
        </w:rPr>
        <w:t xml:space="preserve">. </w:t>
      </w:r>
      <w:r w:rsidR="001D6843" w:rsidRPr="00D40030">
        <w:rPr>
          <w:szCs w:val="18"/>
        </w:rPr>
        <w:t>Provedení Rekonstrukce zahrnuje demontáž Stávající kotelny, s výjimkou rozdělovače a sběrače, včetně oběhových čerpadel a armatur</w:t>
      </w:r>
      <w:r w:rsidR="001D6843">
        <w:rPr>
          <w:szCs w:val="18"/>
        </w:rPr>
        <w:t xml:space="preserve">, a </w:t>
      </w:r>
      <w:r w:rsidR="001D6843" w:rsidRPr="00F57740">
        <w:rPr>
          <w:szCs w:val="18"/>
        </w:rPr>
        <w:t>pořízení a instalac</w:t>
      </w:r>
      <w:r w:rsidR="001D6843">
        <w:rPr>
          <w:szCs w:val="18"/>
        </w:rPr>
        <w:t>i</w:t>
      </w:r>
      <w:r w:rsidR="001D6843" w:rsidRPr="00F57740">
        <w:rPr>
          <w:szCs w:val="18"/>
        </w:rPr>
        <w:t xml:space="preserve"> nové technologie kotelny </w:t>
      </w:r>
      <w:r w:rsidR="001D6843" w:rsidRPr="0054117B">
        <w:rPr>
          <w:szCs w:val="18"/>
        </w:rPr>
        <w:t>(</w:t>
      </w:r>
      <w:r w:rsidR="001D6843">
        <w:rPr>
          <w:szCs w:val="18"/>
        </w:rPr>
        <w:t xml:space="preserve">Stávající kotelna po provedené Rekonstrukci </w:t>
      </w:r>
      <w:r w:rsidR="001D6843" w:rsidRPr="0054117B">
        <w:rPr>
          <w:szCs w:val="18"/>
        </w:rPr>
        <w:t xml:space="preserve">dále </w:t>
      </w:r>
      <w:r w:rsidR="001D6843">
        <w:rPr>
          <w:szCs w:val="18"/>
        </w:rPr>
        <w:t>jen</w:t>
      </w:r>
      <w:r w:rsidR="001D6843" w:rsidRPr="0054117B">
        <w:rPr>
          <w:szCs w:val="18"/>
        </w:rPr>
        <w:t xml:space="preserve"> „</w:t>
      </w:r>
      <w:r w:rsidR="001D6843">
        <w:rPr>
          <w:b/>
          <w:i/>
          <w:szCs w:val="18"/>
        </w:rPr>
        <w:t>Z</w:t>
      </w:r>
      <w:r w:rsidR="001D6843" w:rsidRPr="00C72A49">
        <w:rPr>
          <w:b/>
          <w:i/>
          <w:szCs w:val="18"/>
        </w:rPr>
        <w:t>dro</w:t>
      </w:r>
      <w:r w:rsidR="001D6843" w:rsidRPr="0054117B">
        <w:rPr>
          <w:b/>
          <w:i/>
          <w:szCs w:val="18"/>
        </w:rPr>
        <w:t>jová část</w:t>
      </w:r>
      <w:r w:rsidR="001D6843" w:rsidRPr="0054117B">
        <w:rPr>
          <w:szCs w:val="18"/>
        </w:rPr>
        <w:t>“)</w:t>
      </w:r>
      <w:r w:rsidR="001D6843">
        <w:rPr>
          <w:szCs w:val="18"/>
        </w:rPr>
        <w:t>, tj.</w:t>
      </w:r>
      <w:r w:rsidR="001D6843" w:rsidRPr="004912AC">
        <w:rPr>
          <w:szCs w:val="18"/>
        </w:rPr>
        <w:t xml:space="preserve"> instalaci plynového kondenzačního </w:t>
      </w:r>
      <w:proofErr w:type="spellStart"/>
      <w:r w:rsidR="001D6843" w:rsidRPr="004912AC">
        <w:rPr>
          <w:szCs w:val="18"/>
        </w:rPr>
        <w:t>dvojkotle</w:t>
      </w:r>
      <w:proofErr w:type="spellEnd"/>
      <w:r w:rsidR="001D6843" w:rsidRPr="004912AC">
        <w:rPr>
          <w:szCs w:val="18"/>
        </w:rPr>
        <w:t xml:space="preserve"> o výkonu </w:t>
      </w:r>
      <w:r w:rsidR="00D07FAD">
        <w:rPr>
          <w:szCs w:val="18"/>
        </w:rPr>
        <w:t>min 942 kW</w:t>
      </w:r>
      <w:r w:rsidR="001D6843" w:rsidRPr="004912AC">
        <w:rPr>
          <w:szCs w:val="18"/>
        </w:rPr>
        <w:t>(dále jen „</w:t>
      </w:r>
      <w:r w:rsidR="001D6843" w:rsidRPr="004912AC">
        <w:rPr>
          <w:b/>
          <w:i/>
          <w:szCs w:val="18"/>
        </w:rPr>
        <w:t>Kotel</w:t>
      </w:r>
      <w:r w:rsidR="001D6843" w:rsidRPr="004912AC">
        <w:rPr>
          <w:szCs w:val="18"/>
        </w:rPr>
        <w:t xml:space="preserve">“) a dále provedení technického zhodnocení </w:t>
      </w:r>
      <w:r w:rsidR="001D6843">
        <w:rPr>
          <w:szCs w:val="18"/>
        </w:rPr>
        <w:t xml:space="preserve">Stávající kotelny a potažmo </w:t>
      </w:r>
      <w:r w:rsidR="001D6843" w:rsidRPr="004912AC">
        <w:rPr>
          <w:szCs w:val="18"/>
        </w:rPr>
        <w:t xml:space="preserve">Budovy spočívajícího v celkové vnitřní modernizaci prostor </w:t>
      </w:r>
      <w:r w:rsidR="001D6843">
        <w:rPr>
          <w:szCs w:val="18"/>
        </w:rPr>
        <w:t xml:space="preserve">Stávající </w:t>
      </w:r>
      <w:r w:rsidR="001D6843" w:rsidRPr="004912AC">
        <w:rPr>
          <w:szCs w:val="18"/>
        </w:rPr>
        <w:t xml:space="preserve">kotelny, včetně úpravy napojení na rozvod plynu, elektroinstalaci a systém měření a regulace, v provedení stavebních úprav vnitřních povrchů prostor </w:t>
      </w:r>
      <w:r w:rsidR="001D6843">
        <w:rPr>
          <w:szCs w:val="18"/>
        </w:rPr>
        <w:t xml:space="preserve">Stávající </w:t>
      </w:r>
      <w:r w:rsidR="001D6843" w:rsidRPr="004912AC">
        <w:rPr>
          <w:szCs w:val="18"/>
        </w:rPr>
        <w:t xml:space="preserve">kotelny a ve výměně komínu, který bude nahrazen za nový ve shodném místě s vyústěním zvýšeným o 1m a s nižší dimenzí </w:t>
      </w:r>
      <w:r w:rsidR="001D6843" w:rsidRPr="00D40030">
        <w:rPr>
          <w:szCs w:val="18"/>
        </w:rPr>
        <w:t>komínu a v provedení dalších úprav souvisejících s výše uvedeným. Do vnějších konstrukcí Budovy nebude v rámci Rekonstrukce zasahováno a nebude měněn ani vnější vzhled B</w:t>
      </w:r>
      <w:r w:rsidR="001D6843" w:rsidRPr="004912AC">
        <w:rPr>
          <w:szCs w:val="18"/>
        </w:rPr>
        <w:t>udovy.</w:t>
      </w:r>
      <w:r w:rsidR="0091061C">
        <w:rPr>
          <w:szCs w:val="18"/>
        </w:rPr>
        <w:t xml:space="preserve"> </w:t>
      </w:r>
      <w:r w:rsidR="0091061C">
        <w:t>vyjma montážního otvoru na instalaci kogenerace dle projektové dokumentace a stavebního povolení na KGJ</w:t>
      </w:r>
    </w:p>
    <w:p w14:paraId="5130DC00" w14:textId="53D44282" w:rsidR="00A65054" w:rsidRDefault="006F342E" w:rsidP="00D21808">
      <w:pPr>
        <w:numPr>
          <w:ilvl w:val="0"/>
          <w:numId w:val="2"/>
        </w:numPr>
        <w:ind w:left="426" w:hanging="426"/>
      </w:pPr>
      <w:r w:rsidRPr="006F342E">
        <w:t xml:space="preserve">Odběratel a Dodavatel uzavřeli </w:t>
      </w:r>
      <w:r w:rsidR="00345F41">
        <w:t>Pachtovní s</w:t>
      </w:r>
      <w:r w:rsidRPr="006F342E">
        <w:t xml:space="preserve">mlouvu (dále </w:t>
      </w:r>
      <w:r w:rsidR="002C0B52">
        <w:t xml:space="preserve">i výše </w:t>
      </w:r>
      <w:r w:rsidRPr="006F342E">
        <w:t>pouze „</w:t>
      </w:r>
      <w:r w:rsidR="00345F41">
        <w:rPr>
          <w:b/>
          <w:i/>
        </w:rPr>
        <w:t>Pachtovní s</w:t>
      </w:r>
      <w:r w:rsidRPr="006F342E">
        <w:rPr>
          <w:b/>
          <w:i/>
        </w:rPr>
        <w:t>mlouva</w:t>
      </w:r>
      <w:r w:rsidRPr="006F342E">
        <w:t xml:space="preserve">“), na </w:t>
      </w:r>
      <w:r w:rsidR="00CC7AF2" w:rsidRPr="006F342E">
        <w:t>základě,</w:t>
      </w:r>
      <w:r w:rsidRPr="006F342E">
        <w:t xml:space="preserve"> které Odběratel </w:t>
      </w:r>
      <w:r w:rsidR="00345F41">
        <w:t xml:space="preserve">propachtoval </w:t>
      </w:r>
      <w:r w:rsidRPr="006F342E">
        <w:t xml:space="preserve">Dodavateli mimo jiné </w:t>
      </w:r>
      <w:r w:rsidR="00345F41">
        <w:t xml:space="preserve">Zdrojovou část a </w:t>
      </w:r>
      <w:r w:rsidRPr="006F342E">
        <w:t>nebytové prostory umístěné v</w:t>
      </w:r>
      <w:r w:rsidR="00345F41">
        <w:t> </w:t>
      </w:r>
      <w:r w:rsidRPr="006F342E">
        <w:t>Budově</w:t>
      </w:r>
      <w:r w:rsidR="00345F41">
        <w:t xml:space="preserve"> a část Pozemku</w:t>
      </w:r>
      <w:r w:rsidRPr="006F342E">
        <w:t xml:space="preserve"> </w:t>
      </w:r>
      <w:r w:rsidR="00A65054">
        <w:t xml:space="preserve">specifikované v příloze č. </w:t>
      </w:r>
      <w:r w:rsidR="00FB4658">
        <w:t>1</w:t>
      </w:r>
      <w:r w:rsidR="002C0B52">
        <w:t xml:space="preserve"> </w:t>
      </w:r>
      <w:r w:rsidR="00A65054">
        <w:t>Pachtovní smlouvy</w:t>
      </w:r>
      <w:r w:rsidR="00441A7C">
        <w:t>, a to za účelem provedení Rekonstrukce a následného provozu Zdrojové části a za účelem výstavby a následného provozu Zdroje KVET</w:t>
      </w:r>
      <w:r w:rsidR="00EF3E71">
        <w:t xml:space="preserve">, který je </w:t>
      </w:r>
      <w:r w:rsidR="00EF3E71" w:rsidRPr="004912AC">
        <w:t>komplexním zařízením, zahrnujícím zejména:</w:t>
      </w:r>
    </w:p>
    <w:p w14:paraId="5EE1DA89" w14:textId="7D4F5164" w:rsidR="00EF3E71" w:rsidRDefault="00EF3E71" w:rsidP="00EF3E71">
      <w:pPr>
        <w:numPr>
          <w:ilvl w:val="0"/>
          <w:numId w:val="23"/>
        </w:numPr>
        <w:ind w:left="1276" w:hanging="425"/>
      </w:pPr>
      <w:r w:rsidRPr="004912AC">
        <w:t xml:space="preserve">samotné zařízení pro výrobu tepelné energie a elektřiny – kogenerační jednotku – typu </w:t>
      </w:r>
      <w:r w:rsidRPr="004912AC">
        <w:fldChar w:fldCharType="begin">
          <w:ffData>
            <w:name w:val="Text88"/>
            <w:enabled/>
            <w:calcOnExit w:val="0"/>
            <w:textInput/>
          </w:ffData>
        </w:fldChar>
      </w:r>
      <w:r w:rsidRPr="004912AC">
        <w:instrText xml:space="preserve"> FORMTEXT </w:instrText>
      </w:r>
      <w:r w:rsidRPr="004912AC">
        <w:fldChar w:fldCharType="separate"/>
      </w:r>
      <w:r w:rsidRPr="004912AC">
        <w:t> </w:t>
      </w:r>
      <w:r w:rsidRPr="004912AC">
        <w:t> </w:t>
      </w:r>
      <w:r w:rsidRPr="004912AC">
        <w:t> </w:t>
      </w:r>
      <w:r w:rsidRPr="004912AC">
        <w:t> </w:t>
      </w:r>
      <w:r w:rsidRPr="004912AC">
        <w:t> </w:t>
      </w:r>
      <w:r w:rsidRPr="004912AC">
        <w:fldChar w:fldCharType="end"/>
      </w:r>
      <w:r w:rsidRPr="004912AC">
        <w:t xml:space="preserve"> s tepelným výkonem cca </w:t>
      </w:r>
      <w:r w:rsidRPr="004912AC">
        <w:fldChar w:fldCharType="begin">
          <w:ffData>
            <w:name w:val="Text90"/>
            <w:enabled/>
            <w:calcOnExit w:val="0"/>
            <w:textInput/>
          </w:ffData>
        </w:fldChar>
      </w:r>
      <w:r w:rsidRPr="004912AC">
        <w:instrText xml:space="preserve"> FORMTEXT </w:instrText>
      </w:r>
      <w:r w:rsidRPr="004912AC">
        <w:fldChar w:fldCharType="separate"/>
      </w:r>
      <w:r w:rsidRPr="004912AC">
        <w:t> </w:t>
      </w:r>
      <w:r w:rsidRPr="004912AC">
        <w:t> </w:t>
      </w:r>
      <w:r w:rsidRPr="004912AC">
        <w:t> </w:t>
      </w:r>
      <w:r w:rsidRPr="004912AC">
        <w:t> </w:t>
      </w:r>
      <w:r w:rsidRPr="004912AC">
        <w:t> </w:t>
      </w:r>
      <w:r w:rsidRPr="004912AC">
        <w:fldChar w:fldCharType="end"/>
      </w:r>
      <w:r w:rsidRPr="004912AC">
        <w:t xml:space="preserve"> </w:t>
      </w:r>
      <w:proofErr w:type="spellStart"/>
      <w:r w:rsidRPr="004912AC">
        <w:t>kW</w:t>
      </w:r>
      <w:r w:rsidRPr="004912AC">
        <w:rPr>
          <w:vertAlign w:val="subscript"/>
        </w:rPr>
        <w:t>t</w:t>
      </w:r>
      <w:proofErr w:type="spellEnd"/>
      <w:r w:rsidRPr="004912AC">
        <w:t xml:space="preserve"> (dále pouze „</w:t>
      </w:r>
      <w:r w:rsidRPr="004912AC">
        <w:rPr>
          <w:b/>
          <w:i/>
        </w:rPr>
        <w:t>KGJ</w:t>
      </w:r>
      <w:r w:rsidRPr="004912AC">
        <w:t>“</w:t>
      </w:r>
      <w:proofErr w:type="gramStart"/>
      <w:r w:rsidRPr="004912AC">
        <w:t>),</w:t>
      </w:r>
      <w:r w:rsidR="00D40030">
        <w:t>(</w:t>
      </w:r>
      <w:proofErr w:type="gramEnd"/>
      <w:r w:rsidR="00D40030">
        <w:t>min. hodnota tepelného výkonu 120 kW)</w:t>
      </w:r>
    </w:p>
    <w:p w14:paraId="0A0A6B83" w14:textId="4F39E875" w:rsidR="00EF3E71" w:rsidRPr="00D40030" w:rsidRDefault="00EF3E71" w:rsidP="00EF3E71">
      <w:pPr>
        <w:numPr>
          <w:ilvl w:val="0"/>
          <w:numId w:val="23"/>
        </w:numPr>
        <w:ind w:left="1276" w:hanging="425"/>
      </w:pPr>
      <w:r w:rsidRPr="004912AC">
        <w:t xml:space="preserve">rozvodné tepelné </w:t>
      </w:r>
      <w:r w:rsidRPr="00D40030">
        <w:t xml:space="preserve">zařízení </w:t>
      </w:r>
      <w:r w:rsidR="00C3570E">
        <w:rPr>
          <w:rFonts w:cs="Segoe UI"/>
        </w:rPr>
        <w:t xml:space="preserve">včetně akumulační nádoby </w:t>
      </w:r>
      <w:r w:rsidRPr="00D40030">
        <w:t>pro vyvedení tepelné energie do tepelné sítě odběratele tepelné energie, tj. Propachtovatele (dále pouze „</w:t>
      </w:r>
      <w:r w:rsidRPr="00D40030">
        <w:rPr>
          <w:b/>
          <w:i/>
        </w:rPr>
        <w:t>Rozvodné tepelné zařízení</w:t>
      </w:r>
      <w:r w:rsidRPr="00D40030">
        <w:t xml:space="preserve">“), </w:t>
      </w:r>
    </w:p>
    <w:p w14:paraId="03583006" w14:textId="21703D00" w:rsidR="00EF3E71" w:rsidRDefault="00EF3E71" w:rsidP="00EF3E71">
      <w:pPr>
        <w:numPr>
          <w:ilvl w:val="0"/>
          <w:numId w:val="23"/>
        </w:numPr>
        <w:ind w:left="1276" w:hanging="425"/>
      </w:pPr>
      <w:r w:rsidRPr="00D40030">
        <w:t>rozvodné zařízení pro vyvedení elektrické energie</w:t>
      </w:r>
      <w:r w:rsidRPr="004912AC">
        <w:t xml:space="preserve"> do distribuční sítě a případně do místní sítě (dále pouze „</w:t>
      </w:r>
      <w:r w:rsidR="0091061C">
        <w:t>rozvodů Odběratele</w:t>
      </w:r>
      <w:r w:rsidRPr="004912AC">
        <w:t>“),</w:t>
      </w:r>
      <w:r w:rsidR="00324867">
        <w:t xml:space="preserve"> </w:t>
      </w:r>
    </w:p>
    <w:p w14:paraId="5F2A4DC1" w14:textId="69371651" w:rsidR="00EF3E71" w:rsidRPr="004912AC" w:rsidRDefault="00EF3E71" w:rsidP="00EF3E71">
      <w:pPr>
        <w:numPr>
          <w:ilvl w:val="0"/>
          <w:numId w:val="23"/>
        </w:numPr>
        <w:ind w:left="1276" w:hanging="425"/>
      </w:pPr>
      <w:r w:rsidRPr="004912AC">
        <w:t>přípojku zemního plynu a dalších médií pro provoz KGJ.</w:t>
      </w:r>
    </w:p>
    <w:p w14:paraId="58DC118F" w14:textId="5ACE2E45" w:rsidR="00A8762B" w:rsidRDefault="00441A7C" w:rsidP="00A65054">
      <w:pPr>
        <w:tabs>
          <w:tab w:val="left" w:pos="851"/>
        </w:tabs>
        <w:ind w:left="426"/>
      </w:pPr>
      <w:r>
        <w:lastRenderedPageBreak/>
        <w:t xml:space="preserve">s cílem </w:t>
      </w:r>
      <w:r w:rsidR="00EF1364">
        <w:t>vytvořit předpoklady pro</w:t>
      </w:r>
      <w:r w:rsidR="00393820" w:rsidRPr="00CE6535">
        <w:t xml:space="preserve"> dodáv</w:t>
      </w:r>
      <w:r w:rsidR="00EF1364">
        <w:t>ky</w:t>
      </w:r>
      <w:r w:rsidR="00393820" w:rsidRPr="00CE6535">
        <w:t xml:space="preserve"> </w:t>
      </w:r>
      <w:r w:rsidR="00E147F6" w:rsidRPr="00CE6535">
        <w:t>tep</w:t>
      </w:r>
      <w:r w:rsidR="00E147F6">
        <w:t>eln</w:t>
      </w:r>
      <w:r w:rsidR="00EF1364">
        <w:t>é</w:t>
      </w:r>
      <w:r w:rsidR="00E147F6">
        <w:t xml:space="preserve"> energi</w:t>
      </w:r>
      <w:r w:rsidR="00EF1364">
        <w:t>e</w:t>
      </w:r>
      <w:r w:rsidR="00E147F6">
        <w:t xml:space="preserve"> a elektřin</w:t>
      </w:r>
      <w:r w:rsidR="00EF1364">
        <w:t>y</w:t>
      </w:r>
      <w:r w:rsidR="00E147F6">
        <w:t xml:space="preserve"> </w:t>
      </w:r>
      <w:r w:rsidR="00393820" w:rsidRPr="00CE6535">
        <w:t>za podmínek dohodnutých v</w:t>
      </w:r>
      <w:r w:rsidR="00393820">
        <w:t xml:space="preserve"> této </w:t>
      </w:r>
      <w:r w:rsidR="00CC7AF2">
        <w:t>smlouvě,</w:t>
      </w:r>
      <w:r w:rsidR="00E147F6">
        <w:t xml:space="preserve"> resp. ve Smlouvě o dodávce elektřiny (dále jen „</w:t>
      </w:r>
      <w:r w:rsidR="00E147F6" w:rsidRPr="00E147F6">
        <w:rPr>
          <w:b/>
          <w:bCs/>
          <w:i/>
          <w:iCs/>
        </w:rPr>
        <w:t>Smlouva o dodávce elektřiny</w:t>
      </w:r>
      <w:r w:rsidR="00E147F6">
        <w:t>“) uzavírané paralelně s touto smlouvou</w:t>
      </w:r>
      <w:r w:rsidR="006F342E" w:rsidRPr="006F342E">
        <w:t>.</w:t>
      </w:r>
    </w:p>
    <w:p w14:paraId="0D9A7730" w14:textId="17892456" w:rsidR="006F342E" w:rsidRPr="00F465A1" w:rsidRDefault="00A8762B" w:rsidP="007E6158">
      <w:pPr>
        <w:numPr>
          <w:ilvl w:val="0"/>
          <w:numId w:val="2"/>
        </w:numPr>
        <w:ind w:left="426" w:hanging="426"/>
      </w:pPr>
      <w:r w:rsidRPr="00F465A1">
        <w:rPr>
          <w:rStyle w:val="Hypertextovodkaz"/>
          <w:color w:val="auto"/>
          <w:u w:val="none"/>
        </w:rPr>
        <w:t xml:space="preserve">Dodavatel v souvislosti s dodávkami tepla prohlašuje, že je držitelem licencí </w:t>
      </w:r>
      <w:r w:rsidR="000E484C">
        <w:rPr>
          <w:rStyle w:val="Hypertextovodkaz"/>
          <w:color w:val="auto"/>
          <w:u w:val="none"/>
        </w:rPr>
        <w:t>pro</w:t>
      </w:r>
      <w:r w:rsidRPr="00F465A1">
        <w:rPr>
          <w:rStyle w:val="Hypertextovodkaz"/>
          <w:color w:val="auto"/>
          <w:u w:val="none"/>
        </w:rPr>
        <w:t xml:space="preserve"> výrob</w:t>
      </w:r>
      <w:r w:rsidR="000E484C">
        <w:rPr>
          <w:rStyle w:val="Hypertextovodkaz"/>
          <w:color w:val="auto"/>
          <w:u w:val="none"/>
        </w:rPr>
        <w:t>u</w:t>
      </w:r>
      <w:r w:rsidRPr="00F465A1">
        <w:rPr>
          <w:rStyle w:val="Hypertextovodkaz"/>
          <w:color w:val="auto"/>
          <w:u w:val="none"/>
        </w:rPr>
        <w:t xml:space="preserve"> elektrické energie</w:t>
      </w:r>
      <w:r w:rsidR="005A5F6C" w:rsidRPr="00F465A1">
        <w:rPr>
          <w:rStyle w:val="Hypertextovodkaz"/>
          <w:color w:val="auto"/>
          <w:u w:val="none"/>
        </w:rPr>
        <w:t>,</w:t>
      </w:r>
      <w:r w:rsidR="005D4896" w:rsidRPr="00F465A1">
        <w:rPr>
          <w:rStyle w:val="Hypertextovodkaz"/>
          <w:color w:val="auto"/>
          <w:u w:val="none"/>
        </w:rPr>
        <w:t xml:space="preserve"> výrob</w:t>
      </w:r>
      <w:r w:rsidR="000E484C">
        <w:rPr>
          <w:rStyle w:val="Hypertextovodkaz"/>
          <w:color w:val="auto"/>
          <w:u w:val="none"/>
        </w:rPr>
        <w:t>u</w:t>
      </w:r>
      <w:r w:rsidR="005D4896" w:rsidRPr="00F465A1">
        <w:rPr>
          <w:rStyle w:val="Hypertextovodkaz"/>
          <w:color w:val="auto"/>
          <w:u w:val="none"/>
        </w:rPr>
        <w:t xml:space="preserve"> teplené</w:t>
      </w:r>
      <w:r w:rsidRPr="00F465A1">
        <w:rPr>
          <w:rStyle w:val="Hypertextovodkaz"/>
          <w:color w:val="auto"/>
          <w:u w:val="none"/>
        </w:rPr>
        <w:t xml:space="preserve"> energie </w:t>
      </w:r>
      <w:r w:rsidR="000E484C">
        <w:rPr>
          <w:rStyle w:val="Hypertextovodkaz"/>
          <w:color w:val="auto"/>
          <w:u w:val="none"/>
        </w:rPr>
        <w:t>a</w:t>
      </w:r>
      <w:r w:rsidRPr="00F465A1">
        <w:rPr>
          <w:rStyle w:val="Hypertextovodkaz"/>
          <w:color w:val="auto"/>
          <w:u w:val="none"/>
        </w:rPr>
        <w:t xml:space="preserve"> rozvod tepelné energie a zavazuje se udržet tyto licence</w:t>
      </w:r>
      <w:r w:rsidR="005A5F6C" w:rsidRPr="00F465A1">
        <w:rPr>
          <w:rStyle w:val="Hypertextovodkaz"/>
          <w:color w:val="auto"/>
          <w:u w:val="none"/>
        </w:rPr>
        <w:t xml:space="preserve"> </w:t>
      </w:r>
      <w:r w:rsidRPr="00F465A1">
        <w:rPr>
          <w:rStyle w:val="Hypertextovodkaz"/>
          <w:color w:val="auto"/>
          <w:u w:val="none"/>
        </w:rPr>
        <w:t>v platnosti po celou dobu trvání smlouvy.</w:t>
      </w:r>
      <w:r w:rsidR="006F342E" w:rsidRPr="00F465A1">
        <w:t xml:space="preserve"> </w:t>
      </w:r>
    </w:p>
    <w:p w14:paraId="69D69DF9" w14:textId="77777777" w:rsidR="00EA1AA3" w:rsidRPr="006F342E" w:rsidRDefault="00EA1AA3" w:rsidP="007E6158">
      <w:pPr>
        <w:numPr>
          <w:ilvl w:val="0"/>
          <w:numId w:val="2"/>
        </w:numPr>
        <w:ind w:left="426" w:hanging="426"/>
      </w:pPr>
      <w:r>
        <w:t>Dodavatel prohlašuje, že po dobu platnosti této smlouvy bude dodržovat veškeré obecně závazné předpisy vztahující se k předmětu smlouvy.</w:t>
      </w:r>
    </w:p>
    <w:p w14:paraId="69775A1B" w14:textId="34E67F71" w:rsidR="006F342E" w:rsidRPr="006F342E" w:rsidRDefault="00393820" w:rsidP="007E6158">
      <w:pPr>
        <w:numPr>
          <w:ilvl w:val="0"/>
          <w:numId w:val="2"/>
        </w:numPr>
        <w:ind w:left="426" w:hanging="426"/>
      </w:pPr>
      <w:r w:rsidRPr="00A14A03">
        <w:t xml:space="preserve">Dodávky tepelné energie </w:t>
      </w:r>
      <w:r>
        <w:t>O</w:t>
      </w:r>
      <w:r w:rsidRPr="00A14A03">
        <w:t xml:space="preserve">dběrateli v předpokládaném objemu </w:t>
      </w:r>
      <w:r w:rsidR="0094015E" w:rsidRPr="00D40030">
        <w:t>3978</w:t>
      </w:r>
      <w:r w:rsidRPr="00D40030">
        <w:t xml:space="preserve"> G</w:t>
      </w:r>
      <w:r w:rsidRPr="00A14A03">
        <w:t>J/rok budou realizovány z</w:t>
      </w:r>
      <w:r w:rsidR="00C45B0B">
        <w:t xml:space="preserve">e Zdrojové části </w:t>
      </w:r>
      <w:r w:rsidR="0094015E">
        <w:t xml:space="preserve">a </w:t>
      </w:r>
      <w:r w:rsidR="00C45B0B">
        <w:t xml:space="preserve">nově </w:t>
      </w:r>
      <w:r w:rsidRPr="00A14A03">
        <w:t xml:space="preserve">vybudovaného Zdroje KVET. </w:t>
      </w:r>
    </w:p>
    <w:p w14:paraId="32F5A3E7" w14:textId="77777777" w:rsidR="0077574C" w:rsidRPr="00611006" w:rsidRDefault="0077574C" w:rsidP="007E6158">
      <w:pPr>
        <w:numPr>
          <w:ilvl w:val="0"/>
          <w:numId w:val="2"/>
        </w:numPr>
      </w:pPr>
      <w:r w:rsidRPr="00611006">
        <w:t>Pro účely</w:t>
      </w:r>
      <w:r w:rsidRPr="0077574C">
        <w:rPr>
          <w:rFonts w:ascii="Times New Roman" w:hAnsi="Times New Roman"/>
          <w:szCs w:val="20"/>
          <w:lang w:eastAsia="cs-CZ"/>
        </w:rPr>
        <w:t xml:space="preserve"> </w:t>
      </w:r>
      <w:r w:rsidRPr="00611006">
        <w:t>t</w:t>
      </w:r>
      <w:r>
        <w:t>éto smlouvy</w:t>
      </w:r>
      <w:r w:rsidRPr="00611006">
        <w:t xml:space="preserve"> se uvádějí </w:t>
      </w:r>
      <w:r>
        <w:t xml:space="preserve">rovněž </w:t>
      </w:r>
      <w:r w:rsidRPr="00611006">
        <w:t xml:space="preserve">některé </w:t>
      </w:r>
      <w:r>
        <w:t xml:space="preserve">další </w:t>
      </w:r>
      <w:r w:rsidRPr="00611006">
        <w:t>pojmy a zkratky, jejichž definice je následující:</w:t>
      </w:r>
    </w:p>
    <w:p w14:paraId="149D9AAE" w14:textId="286E1B16" w:rsidR="0077574C" w:rsidRDefault="0077574C" w:rsidP="00A05E5C">
      <w:pPr>
        <w:numPr>
          <w:ilvl w:val="0"/>
          <w:numId w:val="8"/>
        </w:numPr>
        <w:tabs>
          <w:tab w:val="left" w:pos="851"/>
        </w:tabs>
        <w:spacing w:before="120"/>
        <w:ind w:left="851" w:right="-2" w:hanging="425"/>
        <w:rPr>
          <w:szCs w:val="20"/>
        </w:rPr>
      </w:pPr>
      <w:r w:rsidRPr="001F1BDA">
        <w:rPr>
          <w:b/>
          <w:szCs w:val="20"/>
        </w:rPr>
        <w:t xml:space="preserve">dodávkou tepelné energie </w:t>
      </w:r>
      <w:r w:rsidR="00FA7D86">
        <w:rPr>
          <w:szCs w:val="20"/>
        </w:rPr>
        <w:t>–</w:t>
      </w:r>
      <w:r w:rsidRPr="001F1BDA">
        <w:rPr>
          <w:szCs w:val="20"/>
        </w:rPr>
        <w:t xml:space="preserve"> dodávka energie tepla nebo chladu k dalšímu využití jinou fyzickou či právnickou osobou; dodávka energie tepla k dalšímu využití se uskutečňuje ve veřejném zájmu, dále také jen „</w:t>
      </w:r>
      <w:r w:rsidRPr="001F1BDA">
        <w:rPr>
          <w:i/>
          <w:szCs w:val="20"/>
        </w:rPr>
        <w:t>dodávka</w:t>
      </w:r>
      <w:r w:rsidRPr="001F1BDA">
        <w:rPr>
          <w:szCs w:val="20"/>
        </w:rPr>
        <w:t>“;</w:t>
      </w:r>
    </w:p>
    <w:p w14:paraId="7D43BCCE" w14:textId="233A2A33" w:rsidR="0077574C" w:rsidRDefault="0077574C" w:rsidP="00A05E5C">
      <w:pPr>
        <w:numPr>
          <w:ilvl w:val="0"/>
          <w:numId w:val="8"/>
        </w:numPr>
        <w:tabs>
          <w:tab w:val="left" w:pos="851"/>
        </w:tabs>
        <w:spacing w:before="120"/>
        <w:ind w:left="851" w:right="-2" w:hanging="425"/>
        <w:rPr>
          <w:szCs w:val="20"/>
        </w:rPr>
      </w:pPr>
      <w:r w:rsidRPr="0077574C">
        <w:rPr>
          <w:b/>
          <w:szCs w:val="20"/>
        </w:rPr>
        <w:t xml:space="preserve">odběr tepelné energie </w:t>
      </w:r>
      <w:r w:rsidR="00FA7D86">
        <w:rPr>
          <w:szCs w:val="20"/>
        </w:rPr>
        <w:t>–</w:t>
      </w:r>
      <w:r w:rsidRPr="0077574C">
        <w:rPr>
          <w:szCs w:val="20"/>
        </w:rPr>
        <w:t xml:space="preserve"> převzetí dodávky tepelné energie od výrobce nebo distributora ke konečné spotřebě nebo dalšímu využití, dále také jen „</w:t>
      </w:r>
      <w:r w:rsidRPr="0077574C">
        <w:rPr>
          <w:i/>
          <w:szCs w:val="20"/>
        </w:rPr>
        <w:t>odběr</w:t>
      </w:r>
      <w:r w:rsidRPr="0077574C">
        <w:rPr>
          <w:szCs w:val="20"/>
        </w:rPr>
        <w:t>“;</w:t>
      </w:r>
    </w:p>
    <w:p w14:paraId="2AAF2280" w14:textId="05CE3C5D" w:rsidR="0077574C" w:rsidRDefault="0077574C" w:rsidP="00A05E5C">
      <w:pPr>
        <w:numPr>
          <w:ilvl w:val="0"/>
          <w:numId w:val="8"/>
        </w:numPr>
        <w:tabs>
          <w:tab w:val="left" w:pos="851"/>
        </w:tabs>
        <w:spacing w:before="120"/>
        <w:ind w:left="851" w:right="-2" w:hanging="425"/>
        <w:rPr>
          <w:szCs w:val="20"/>
        </w:rPr>
      </w:pPr>
      <w:r w:rsidRPr="0077574C">
        <w:rPr>
          <w:b/>
          <w:szCs w:val="20"/>
        </w:rPr>
        <w:t xml:space="preserve">odběrné místo </w:t>
      </w:r>
      <w:r w:rsidR="00FA7D86">
        <w:rPr>
          <w:szCs w:val="20"/>
        </w:rPr>
        <w:t>–</w:t>
      </w:r>
      <w:r w:rsidRPr="0077574C">
        <w:rPr>
          <w:szCs w:val="20"/>
        </w:rPr>
        <w:t xml:space="preserve"> místo plnění stanovené ve smlouvě</w:t>
      </w:r>
      <w:r>
        <w:rPr>
          <w:szCs w:val="20"/>
        </w:rPr>
        <w:t xml:space="preserve"> (viz příloha č. </w:t>
      </w:r>
      <w:r w:rsidR="00FB4658">
        <w:rPr>
          <w:szCs w:val="20"/>
        </w:rPr>
        <w:t>1</w:t>
      </w:r>
      <w:r>
        <w:rPr>
          <w:szCs w:val="20"/>
        </w:rPr>
        <w:t>)</w:t>
      </w:r>
      <w:r w:rsidRPr="0077574C">
        <w:rPr>
          <w:szCs w:val="20"/>
        </w:rPr>
        <w:t>, v němž přechází tepelná energie z vlastnictví Dodavatele do vlastnictví Odběratele;</w:t>
      </w:r>
    </w:p>
    <w:p w14:paraId="1BCB3F20" w14:textId="60F9BDDF" w:rsidR="0077574C" w:rsidRDefault="0077574C" w:rsidP="00A05E5C">
      <w:pPr>
        <w:numPr>
          <w:ilvl w:val="0"/>
          <w:numId w:val="8"/>
        </w:numPr>
        <w:tabs>
          <w:tab w:val="left" w:pos="851"/>
        </w:tabs>
        <w:spacing w:before="120"/>
        <w:ind w:left="851" w:right="-2" w:hanging="425"/>
        <w:rPr>
          <w:szCs w:val="20"/>
        </w:rPr>
      </w:pPr>
      <w:r w:rsidRPr="0077574C">
        <w:rPr>
          <w:b/>
          <w:szCs w:val="20"/>
        </w:rPr>
        <w:t xml:space="preserve">odběrné tepelné zařízení </w:t>
      </w:r>
      <w:r w:rsidR="00FA7D86">
        <w:rPr>
          <w:szCs w:val="20"/>
        </w:rPr>
        <w:t>–</w:t>
      </w:r>
      <w:r w:rsidRPr="0077574C">
        <w:rPr>
          <w:szCs w:val="20"/>
        </w:rPr>
        <w:t xml:space="preserve"> zařízení připojené na zdroj či rozvod tepelné energie určené pro vnitřní rozvod a spotřebu tepelné energie v objektu nebo jeho části, případně v souboru objektů či pro soubor objektů Odběratele, dále také jen „</w:t>
      </w:r>
      <w:r w:rsidRPr="0077574C">
        <w:rPr>
          <w:i/>
          <w:szCs w:val="20"/>
        </w:rPr>
        <w:t>Odběrné zařízení</w:t>
      </w:r>
      <w:r w:rsidRPr="0077574C">
        <w:rPr>
          <w:szCs w:val="20"/>
        </w:rPr>
        <w:t>“;</w:t>
      </w:r>
    </w:p>
    <w:p w14:paraId="5F41720F" w14:textId="5C1241E8" w:rsidR="0077574C" w:rsidRDefault="0077574C" w:rsidP="00A05E5C">
      <w:pPr>
        <w:numPr>
          <w:ilvl w:val="0"/>
          <w:numId w:val="8"/>
        </w:numPr>
        <w:tabs>
          <w:tab w:val="left" w:pos="851"/>
        </w:tabs>
        <w:spacing w:before="120"/>
        <w:ind w:left="851" w:right="-2" w:hanging="425"/>
        <w:rPr>
          <w:szCs w:val="20"/>
        </w:rPr>
      </w:pPr>
      <w:r w:rsidRPr="0077574C">
        <w:rPr>
          <w:b/>
          <w:szCs w:val="20"/>
        </w:rPr>
        <w:t xml:space="preserve">rozvod tepelné energie </w:t>
      </w:r>
      <w:r w:rsidR="00FA7D86">
        <w:rPr>
          <w:szCs w:val="20"/>
        </w:rPr>
        <w:t>–</w:t>
      </w:r>
      <w:r w:rsidRPr="0077574C">
        <w:rPr>
          <w:szCs w:val="20"/>
        </w:rPr>
        <w:t xml:space="preserve"> doprava, akumulace, přeměna parametrů a dodávka tepelné energie rozvodným tepelným zařízením;</w:t>
      </w:r>
    </w:p>
    <w:p w14:paraId="6CC19591" w14:textId="6ACA60F4" w:rsidR="0077574C" w:rsidRDefault="0077574C" w:rsidP="00A05E5C">
      <w:pPr>
        <w:numPr>
          <w:ilvl w:val="0"/>
          <w:numId w:val="8"/>
        </w:numPr>
        <w:tabs>
          <w:tab w:val="left" w:pos="851"/>
        </w:tabs>
        <w:spacing w:before="120"/>
        <w:ind w:left="851" w:right="-2" w:hanging="425"/>
        <w:rPr>
          <w:szCs w:val="20"/>
        </w:rPr>
      </w:pPr>
      <w:r w:rsidRPr="0077574C">
        <w:rPr>
          <w:b/>
          <w:szCs w:val="20"/>
        </w:rPr>
        <w:t xml:space="preserve">tepelná energie </w:t>
      </w:r>
      <w:r w:rsidR="00FA7D86">
        <w:rPr>
          <w:szCs w:val="20"/>
        </w:rPr>
        <w:t>–</w:t>
      </w:r>
      <w:r w:rsidRPr="0077574C">
        <w:rPr>
          <w:szCs w:val="20"/>
        </w:rPr>
        <w:t xml:space="preserve"> energie tepla nebo chladu obsažená v teplonosné látce, dále také jen „</w:t>
      </w:r>
      <w:r w:rsidRPr="0077574C">
        <w:rPr>
          <w:i/>
          <w:szCs w:val="20"/>
        </w:rPr>
        <w:t>teplo</w:t>
      </w:r>
      <w:r w:rsidRPr="0077574C">
        <w:rPr>
          <w:szCs w:val="20"/>
        </w:rPr>
        <w:t>“;</w:t>
      </w:r>
    </w:p>
    <w:p w14:paraId="5993DFFF" w14:textId="7FD03F41" w:rsidR="0077574C" w:rsidRDefault="0077574C" w:rsidP="00A05E5C">
      <w:pPr>
        <w:numPr>
          <w:ilvl w:val="0"/>
          <w:numId w:val="8"/>
        </w:numPr>
        <w:tabs>
          <w:tab w:val="left" w:pos="851"/>
        </w:tabs>
        <w:spacing w:before="120"/>
        <w:ind w:left="851" w:right="-2" w:hanging="425"/>
        <w:rPr>
          <w:szCs w:val="20"/>
        </w:rPr>
      </w:pPr>
      <w:r w:rsidRPr="0077574C">
        <w:rPr>
          <w:b/>
          <w:szCs w:val="20"/>
        </w:rPr>
        <w:t xml:space="preserve">vymezené území </w:t>
      </w:r>
      <w:r w:rsidR="00FA7D86">
        <w:rPr>
          <w:szCs w:val="20"/>
        </w:rPr>
        <w:t>–</w:t>
      </w:r>
      <w:r w:rsidRPr="0077574C">
        <w:rPr>
          <w:szCs w:val="20"/>
        </w:rPr>
        <w:t xml:space="preserve"> oblast výkonu licencované činnosti dodavatele tepelné energie;</w:t>
      </w:r>
    </w:p>
    <w:p w14:paraId="19053173" w14:textId="1D0DEE47" w:rsidR="0077574C" w:rsidRDefault="0077574C" w:rsidP="00A05E5C">
      <w:pPr>
        <w:numPr>
          <w:ilvl w:val="0"/>
          <w:numId w:val="8"/>
        </w:numPr>
        <w:tabs>
          <w:tab w:val="left" w:pos="851"/>
        </w:tabs>
        <w:spacing w:before="120"/>
        <w:ind w:left="851" w:right="-2" w:hanging="425"/>
        <w:rPr>
          <w:szCs w:val="20"/>
        </w:rPr>
      </w:pPr>
      <w:r w:rsidRPr="0077574C">
        <w:rPr>
          <w:b/>
          <w:szCs w:val="20"/>
        </w:rPr>
        <w:t xml:space="preserve">výrobce </w:t>
      </w:r>
      <w:r w:rsidR="00FA7D86">
        <w:rPr>
          <w:szCs w:val="20"/>
        </w:rPr>
        <w:t>–</w:t>
      </w:r>
      <w:r w:rsidRPr="0077574C">
        <w:rPr>
          <w:szCs w:val="20"/>
        </w:rPr>
        <w:t xml:space="preserve"> fyzická či právnická osoba, která tepelnou energii získává z paliv nebo jiných typů energie a vyrobenou energii dodává,</w:t>
      </w:r>
    </w:p>
    <w:p w14:paraId="7746CD42" w14:textId="0735D302" w:rsidR="0077574C" w:rsidRPr="001B55BE" w:rsidRDefault="0077574C" w:rsidP="00A05E5C">
      <w:pPr>
        <w:numPr>
          <w:ilvl w:val="0"/>
          <w:numId w:val="8"/>
        </w:numPr>
        <w:tabs>
          <w:tab w:val="left" w:pos="851"/>
        </w:tabs>
        <w:spacing w:before="120"/>
        <w:ind w:left="851" w:right="-2" w:hanging="425"/>
        <w:rPr>
          <w:szCs w:val="20"/>
        </w:rPr>
      </w:pPr>
      <w:r w:rsidRPr="0077574C">
        <w:rPr>
          <w:b/>
          <w:szCs w:val="20"/>
        </w:rPr>
        <w:t xml:space="preserve">zdroj tepelné energie </w:t>
      </w:r>
      <w:r w:rsidR="00FA7D86">
        <w:rPr>
          <w:szCs w:val="20"/>
        </w:rPr>
        <w:t>–</w:t>
      </w:r>
      <w:r w:rsidRPr="0077574C">
        <w:rPr>
          <w:szCs w:val="20"/>
        </w:rPr>
        <w:t xml:space="preserve"> zařízení, v němž se využíváním paliv nebo jiných typů energie získává tepelná energie, která se předává teplonosné látce, dále také jen „</w:t>
      </w:r>
      <w:r w:rsidRPr="0077574C">
        <w:rPr>
          <w:i/>
          <w:szCs w:val="20"/>
        </w:rPr>
        <w:t>zdroj</w:t>
      </w:r>
      <w:r w:rsidRPr="0077574C">
        <w:rPr>
          <w:szCs w:val="20"/>
        </w:rPr>
        <w:t>“</w:t>
      </w:r>
      <w:r w:rsidR="00AE208D">
        <w:rPr>
          <w:szCs w:val="20"/>
        </w:rPr>
        <w:t>.</w:t>
      </w:r>
      <w:r w:rsidRPr="0077574C">
        <w:rPr>
          <w:szCs w:val="20"/>
        </w:rPr>
        <w:t xml:space="preserve"> </w:t>
      </w:r>
      <w:r w:rsidR="00AE208D" w:rsidRPr="001B55BE">
        <w:rPr>
          <w:szCs w:val="20"/>
        </w:rPr>
        <w:t>Zdrojem tepelné energie podle této smlouvy je Kotel a KGJ;</w:t>
      </w:r>
    </w:p>
    <w:p w14:paraId="723D5DED" w14:textId="15AF5AA2" w:rsidR="0077574C" w:rsidRDefault="0077574C" w:rsidP="00A05E5C">
      <w:pPr>
        <w:numPr>
          <w:ilvl w:val="0"/>
          <w:numId w:val="8"/>
        </w:numPr>
        <w:tabs>
          <w:tab w:val="left" w:pos="851"/>
        </w:tabs>
        <w:spacing w:before="120"/>
        <w:ind w:left="851" w:right="-2" w:hanging="425"/>
        <w:rPr>
          <w:szCs w:val="20"/>
        </w:rPr>
      </w:pPr>
      <w:r w:rsidRPr="0077574C">
        <w:rPr>
          <w:b/>
          <w:szCs w:val="20"/>
        </w:rPr>
        <w:t xml:space="preserve">objekt </w:t>
      </w:r>
      <w:r w:rsidR="00FA7D86">
        <w:rPr>
          <w:szCs w:val="20"/>
        </w:rPr>
        <w:t>–</w:t>
      </w:r>
      <w:r w:rsidRPr="0077574C">
        <w:rPr>
          <w:szCs w:val="20"/>
        </w:rPr>
        <w:t xml:space="preserve"> ucelené stavební dílo technicky propojené jedním společným odběrným tepelným zařízením,</w:t>
      </w:r>
    </w:p>
    <w:p w14:paraId="37493E2A" w14:textId="5A3B945F" w:rsidR="0077574C" w:rsidRDefault="0077574C" w:rsidP="00A05E5C">
      <w:pPr>
        <w:numPr>
          <w:ilvl w:val="0"/>
          <w:numId w:val="8"/>
        </w:numPr>
        <w:tabs>
          <w:tab w:val="left" w:pos="851"/>
        </w:tabs>
        <w:spacing w:before="120"/>
        <w:ind w:left="851" w:right="-2" w:hanging="425"/>
        <w:rPr>
          <w:szCs w:val="20"/>
        </w:rPr>
      </w:pPr>
      <w:r w:rsidRPr="0077574C">
        <w:rPr>
          <w:b/>
          <w:szCs w:val="20"/>
        </w:rPr>
        <w:t xml:space="preserve">užitečné teplo </w:t>
      </w:r>
      <w:r w:rsidR="00FA7D86">
        <w:rPr>
          <w:szCs w:val="20"/>
        </w:rPr>
        <w:t>–</w:t>
      </w:r>
      <w:r w:rsidRPr="0077574C">
        <w:rPr>
          <w:szCs w:val="20"/>
        </w:rPr>
        <w:t xml:space="preserve"> teplo vyrobené, sloužící pro dodávky do soustavy centralizovaného zásobování teplem nebo pro</w:t>
      </w:r>
      <w:r w:rsidRPr="00A61D6F">
        <w:rPr>
          <w:szCs w:val="20"/>
        </w:rPr>
        <w:t xml:space="preserve"> </w:t>
      </w:r>
      <w:r w:rsidRPr="00FE6173">
        <w:rPr>
          <w:szCs w:val="20"/>
        </w:rPr>
        <w:t>přímé dodávky fyzickým či právnickým osobám k dalšímu využití a pro technologické účely s výjimkou odběru pro vlastní spotřebu zdroje tepelné energie;</w:t>
      </w:r>
    </w:p>
    <w:p w14:paraId="0FE2AED9" w14:textId="73E578BD" w:rsidR="0077574C" w:rsidRDefault="0077574C" w:rsidP="00A05E5C">
      <w:pPr>
        <w:numPr>
          <w:ilvl w:val="0"/>
          <w:numId w:val="8"/>
        </w:numPr>
        <w:tabs>
          <w:tab w:val="left" w:pos="851"/>
        </w:tabs>
        <w:spacing w:before="120"/>
        <w:ind w:left="851" w:right="-2" w:hanging="425"/>
        <w:rPr>
          <w:szCs w:val="20"/>
        </w:rPr>
      </w:pPr>
      <w:r w:rsidRPr="0077574C">
        <w:rPr>
          <w:b/>
          <w:szCs w:val="20"/>
        </w:rPr>
        <w:t>soustava centralizovaného zásobování teplem</w:t>
      </w:r>
      <w:r w:rsidRPr="00FA7D86">
        <w:rPr>
          <w:bCs/>
          <w:szCs w:val="20"/>
        </w:rPr>
        <w:t xml:space="preserve"> </w:t>
      </w:r>
      <w:r w:rsidR="00FA7D86" w:rsidRPr="00FA7D86">
        <w:rPr>
          <w:bCs/>
          <w:szCs w:val="20"/>
        </w:rPr>
        <w:t>–</w:t>
      </w:r>
      <w:r w:rsidRPr="00FA7D86">
        <w:rPr>
          <w:bCs/>
          <w:szCs w:val="20"/>
        </w:rPr>
        <w:t xml:space="preserve"> </w:t>
      </w:r>
      <w:r w:rsidRPr="0077574C">
        <w:rPr>
          <w:szCs w:val="20"/>
        </w:rPr>
        <w:t>soustava tvořená zdroji tepelné energie a rozvodným tepelným zařízením a odběrnými tepelnými zařízeními;</w:t>
      </w:r>
    </w:p>
    <w:p w14:paraId="065A694B" w14:textId="7BB52C91" w:rsidR="0077574C" w:rsidRDefault="0077574C" w:rsidP="00A05E5C">
      <w:pPr>
        <w:numPr>
          <w:ilvl w:val="0"/>
          <w:numId w:val="8"/>
        </w:numPr>
        <w:tabs>
          <w:tab w:val="left" w:pos="851"/>
        </w:tabs>
        <w:spacing w:before="120"/>
        <w:ind w:left="851" w:right="-2" w:hanging="425"/>
        <w:rPr>
          <w:szCs w:val="20"/>
        </w:rPr>
      </w:pPr>
      <w:r w:rsidRPr="0077574C">
        <w:rPr>
          <w:b/>
          <w:szCs w:val="20"/>
        </w:rPr>
        <w:t xml:space="preserve">EZ </w:t>
      </w:r>
      <w:r>
        <w:rPr>
          <w:szCs w:val="20"/>
        </w:rPr>
        <w:t xml:space="preserve">nebo </w:t>
      </w:r>
      <w:r>
        <w:rPr>
          <w:b/>
          <w:szCs w:val="20"/>
        </w:rPr>
        <w:t>energetický zákon</w:t>
      </w:r>
      <w:r w:rsidR="00FA7D86">
        <w:rPr>
          <w:bCs/>
          <w:szCs w:val="20"/>
        </w:rPr>
        <w:t xml:space="preserve"> </w:t>
      </w:r>
      <w:r w:rsidR="00FA7D86">
        <w:rPr>
          <w:szCs w:val="20"/>
        </w:rPr>
        <w:t>–</w:t>
      </w:r>
      <w:r w:rsidRPr="0077574C">
        <w:rPr>
          <w:szCs w:val="20"/>
        </w:rPr>
        <w:t xml:space="preserve"> zákon č. 458/2000 Sb., o podmínkách podnikání a výkonu státní správy v energetických odvětvích a</w:t>
      </w:r>
      <w:r>
        <w:rPr>
          <w:szCs w:val="20"/>
        </w:rPr>
        <w:t xml:space="preserve"> </w:t>
      </w:r>
      <w:r w:rsidRPr="0077574C">
        <w:rPr>
          <w:szCs w:val="20"/>
        </w:rPr>
        <w:t>o změně některých zákonů, ve znění pozdějších změn a doplňků;</w:t>
      </w:r>
    </w:p>
    <w:p w14:paraId="55860709" w14:textId="07CA4DA6" w:rsidR="0077574C" w:rsidRDefault="0077574C" w:rsidP="00A05E5C">
      <w:pPr>
        <w:numPr>
          <w:ilvl w:val="0"/>
          <w:numId w:val="8"/>
        </w:numPr>
        <w:tabs>
          <w:tab w:val="left" w:pos="851"/>
        </w:tabs>
        <w:spacing w:before="120"/>
        <w:ind w:left="851" w:right="-2" w:hanging="425"/>
        <w:rPr>
          <w:szCs w:val="20"/>
        </w:rPr>
      </w:pPr>
      <w:r w:rsidRPr="0077574C">
        <w:rPr>
          <w:b/>
          <w:bCs/>
          <w:szCs w:val="20"/>
        </w:rPr>
        <w:t>fakturační měřidlo</w:t>
      </w:r>
      <w:r w:rsidRPr="0077574C">
        <w:rPr>
          <w:b/>
          <w:szCs w:val="20"/>
        </w:rPr>
        <w:t xml:space="preserve"> </w:t>
      </w:r>
      <w:r w:rsidR="00FA7D86">
        <w:rPr>
          <w:szCs w:val="20"/>
        </w:rPr>
        <w:t>–</w:t>
      </w:r>
      <w:r w:rsidRPr="0077574C">
        <w:rPr>
          <w:szCs w:val="20"/>
        </w:rPr>
        <w:t xml:space="preserve"> měřidlo ve smyslu zákona č. 505/1990 Sb., o metrologii, ve znění pozdějších změn a doplňků, určené ve smlouvě pro stanovení hodnot pro fakturaci, dále také jen „</w:t>
      </w:r>
      <w:r w:rsidRPr="0077574C">
        <w:rPr>
          <w:i/>
          <w:szCs w:val="20"/>
        </w:rPr>
        <w:t>Měřidlo</w:t>
      </w:r>
      <w:r w:rsidRPr="0077574C">
        <w:rPr>
          <w:szCs w:val="20"/>
        </w:rPr>
        <w:t>“,</w:t>
      </w:r>
    </w:p>
    <w:p w14:paraId="11C8C53B" w14:textId="77777777" w:rsidR="0077574C" w:rsidRDefault="0077574C" w:rsidP="00A05E5C">
      <w:pPr>
        <w:numPr>
          <w:ilvl w:val="0"/>
          <w:numId w:val="8"/>
        </w:numPr>
        <w:tabs>
          <w:tab w:val="left" w:pos="851"/>
        </w:tabs>
        <w:spacing w:before="120"/>
        <w:ind w:left="851" w:right="-2" w:hanging="425"/>
        <w:rPr>
          <w:szCs w:val="20"/>
        </w:rPr>
      </w:pPr>
      <w:r w:rsidRPr="0077574C">
        <w:rPr>
          <w:b/>
          <w:bCs/>
          <w:szCs w:val="20"/>
        </w:rPr>
        <w:t>odběrový diagram</w:t>
      </w:r>
      <w:r w:rsidRPr="0077574C">
        <w:rPr>
          <w:b/>
          <w:szCs w:val="20"/>
        </w:rPr>
        <w:t xml:space="preserve"> </w:t>
      </w:r>
      <w:r w:rsidRPr="0077574C">
        <w:rPr>
          <w:szCs w:val="20"/>
        </w:rPr>
        <w:t xml:space="preserve">– dokument, v němž jsou stanoveny </w:t>
      </w:r>
      <w:r w:rsidR="00A257C0">
        <w:rPr>
          <w:szCs w:val="20"/>
        </w:rPr>
        <w:t xml:space="preserve">předpokládané </w:t>
      </w:r>
      <w:r w:rsidRPr="0077574C">
        <w:rPr>
          <w:szCs w:val="20"/>
        </w:rPr>
        <w:t>roční hodnoty sjednaného množství dodávek tepla Dodavatelem Odběrateli dle smlouvy;</w:t>
      </w:r>
      <w:r w:rsidRPr="0077574C">
        <w:rPr>
          <w:bCs/>
          <w:szCs w:val="20"/>
        </w:rPr>
        <w:t xml:space="preserve"> </w:t>
      </w:r>
    </w:p>
    <w:p w14:paraId="5E431D8E" w14:textId="594BCBD7" w:rsidR="0077574C" w:rsidRDefault="0077574C" w:rsidP="00A05E5C">
      <w:pPr>
        <w:numPr>
          <w:ilvl w:val="0"/>
          <w:numId w:val="8"/>
        </w:numPr>
        <w:tabs>
          <w:tab w:val="left" w:pos="851"/>
        </w:tabs>
        <w:spacing w:before="120"/>
        <w:ind w:left="851" w:right="-2" w:hanging="425"/>
        <w:rPr>
          <w:szCs w:val="20"/>
        </w:rPr>
      </w:pPr>
      <w:r w:rsidRPr="0077574C">
        <w:rPr>
          <w:b/>
          <w:bCs/>
          <w:szCs w:val="20"/>
        </w:rPr>
        <w:t>oznámení o výši záloh za dodávku tepelné energie</w:t>
      </w:r>
      <w:r w:rsidRPr="0077574C">
        <w:rPr>
          <w:b/>
          <w:szCs w:val="20"/>
        </w:rPr>
        <w:t xml:space="preserve"> </w:t>
      </w:r>
      <w:r w:rsidR="00FA7D86">
        <w:rPr>
          <w:szCs w:val="20"/>
        </w:rPr>
        <w:t>–</w:t>
      </w:r>
      <w:r w:rsidRPr="0077574C">
        <w:rPr>
          <w:szCs w:val="20"/>
        </w:rPr>
        <w:t xml:space="preserve"> předpis, kterým jsou na základě pravidel určených touto smlouvou stanoveny konkrétní podmínky úhrady záloh, zejména jejich výše a splatnost;</w:t>
      </w:r>
    </w:p>
    <w:p w14:paraId="4FD1C878" w14:textId="77777777" w:rsidR="0077574C" w:rsidRDefault="0077574C" w:rsidP="00A05E5C">
      <w:pPr>
        <w:numPr>
          <w:ilvl w:val="0"/>
          <w:numId w:val="8"/>
        </w:numPr>
        <w:tabs>
          <w:tab w:val="left" w:pos="851"/>
        </w:tabs>
        <w:spacing w:before="120"/>
        <w:ind w:left="851" w:right="-2" w:hanging="425"/>
        <w:rPr>
          <w:szCs w:val="20"/>
        </w:rPr>
      </w:pPr>
      <w:r w:rsidRPr="0077574C">
        <w:rPr>
          <w:b/>
          <w:bCs/>
          <w:szCs w:val="20"/>
        </w:rPr>
        <w:t>podružný odběratel</w:t>
      </w:r>
      <w:r w:rsidRPr="0077574C">
        <w:rPr>
          <w:b/>
          <w:szCs w:val="20"/>
        </w:rPr>
        <w:t xml:space="preserve"> </w:t>
      </w:r>
      <w:r w:rsidRPr="0077574C">
        <w:rPr>
          <w:szCs w:val="20"/>
        </w:rPr>
        <w:t>– odběratel napojený přes odběrné místo, a to primárně či sekundárně, pro něhož plnění dodávky je ošetřeno na straně Odběratele;</w:t>
      </w:r>
    </w:p>
    <w:p w14:paraId="3E049569" w14:textId="77777777" w:rsidR="0077574C" w:rsidRDefault="0077574C" w:rsidP="00A05E5C">
      <w:pPr>
        <w:numPr>
          <w:ilvl w:val="0"/>
          <w:numId w:val="8"/>
        </w:numPr>
        <w:tabs>
          <w:tab w:val="left" w:pos="851"/>
        </w:tabs>
        <w:spacing w:before="120"/>
        <w:ind w:left="851" w:right="-2" w:hanging="425"/>
        <w:rPr>
          <w:szCs w:val="20"/>
        </w:rPr>
      </w:pPr>
      <w:r w:rsidRPr="0077574C">
        <w:rPr>
          <w:b/>
          <w:szCs w:val="20"/>
        </w:rPr>
        <w:lastRenderedPageBreak/>
        <w:t xml:space="preserve">průměrná teplota </w:t>
      </w:r>
      <w:r w:rsidRPr="0077574C">
        <w:rPr>
          <w:szCs w:val="20"/>
        </w:rPr>
        <w:t>– pojem z vyhlášky Ministerstva průmyslu a obchodu č. 194/2007 Sb., ve znění pozdějších změn a doplňků;</w:t>
      </w:r>
    </w:p>
    <w:p w14:paraId="50E4B39C" w14:textId="77777777" w:rsidR="0077574C" w:rsidRDefault="0077574C" w:rsidP="00A05E5C">
      <w:pPr>
        <w:numPr>
          <w:ilvl w:val="0"/>
          <w:numId w:val="8"/>
        </w:numPr>
        <w:tabs>
          <w:tab w:val="left" w:pos="851"/>
        </w:tabs>
        <w:spacing w:before="120"/>
        <w:ind w:left="851" w:right="-2" w:hanging="425"/>
        <w:rPr>
          <w:szCs w:val="20"/>
        </w:rPr>
      </w:pPr>
      <w:r w:rsidRPr="0077574C">
        <w:rPr>
          <w:b/>
          <w:szCs w:val="20"/>
        </w:rPr>
        <w:t xml:space="preserve">předávací stanice </w:t>
      </w:r>
      <w:r w:rsidRPr="0077574C">
        <w:rPr>
          <w:szCs w:val="20"/>
        </w:rPr>
        <w:t>– technické místo, kde dochází ke změně parametrů teplonosného média a řízení této změny;</w:t>
      </w:r>
    </w:p>
    <w:p w14:paraId="70CB5909" w14:textId="44060CE1" w:rsidR="0077574C" w:rsidRDefault="0077574C" w:rsidP="00A05E5C">
      <w:pPr>
        <w:numPr>
          <w:ilvl w:val="0"/>
          <w:numId w:val="8"/>
        </w:numPr>
        <w:tabs>
          <w:tab w:val="left" w:pos="851"/>
        </w:tabs>
        <w:spacing w:before="120"/>
        <w:ind w:left="851" w:right="-2" w:hanging="425"/>
        <w:rPr>
          <w:szCs w:val="20"/>
        </w:rPr>
      </w:pPr>
      <w:r w:rsidRPr="0077574C">
        <w:rPr>
          <w:b/>
          <w:bCs/>
          <w:szCs w:val="20"/>
        </w:rPr>
        <w:t>sjednané množství tepelné energie</w:t>
      </w:r>
      <w:r w:rsidRPr="0077574C">
        <w:rPr>
          <w:b/>
          <w:szCs w:val="20"/>
        </w:rPr>
        <w:t xml:space="preserve"> </w:t>
      </w:r>
      <w:r w:rsidR="00FA7D86">
        <w:rPr>
          <w:szCs w:val="20"/>
        </w:rPr>
        <w:t>–</w:t>
      </w:r>
      <w:r w:rsidRPr="0077574C">
        <w:rPr>
          <w:szCs w:val="20"/>
        </w:rPr>
        <w:t xml:space="preserve"> hodnota, kterou Dodavatel sjednává s Odběratelem v odběrovém diagramu v GJ jako „Smluvní odběr tepelné energie“, dále také jen „</w:t>
      </w:r>
      <w:r w:rsidRPr="0077574C">
        <w:rPr>
          <w:i/>
          <w:szCs w:val="20"/>
        </w:rPr>
        <w:t>Sjednané množství“</w:t>
      </w:r>
      <w:r w:rsidRPr="0077574C">
        <w:rPr>
          <w:szCs w:val="20"/>
        </w:rPr>
        <w:t>;</w:t>
      </w:r>
    </w:p>
    <w:p w14:paraId="4423A7A7" w14:textId="77777777" w:rsidR="0077574C" w:rsidRDefault="0077574C" w:rsidP="00A05E5C">
      <w:pPr>
        <w:numPr>
          <w:ilvl w:val="0"/>
          <w:numId w:val="8"/>
        </w:numPr>
        <w:tabs>
          <w:tab w:val="left" w:pos="851"/>
        </w:tabs>
        <w:spacing w:before="120"/>
        <w:ind w:left="851" w:right="-2" w:hanging="425"/>
        <w:rPr>
          <w:szCs w:val="20"/>
        </w:rPr>
      </w:pPr>
      <w:r w:rsidRPr="0077574C">
        <w:rPr>
          <w:b/>
          <w:bCs/>
          <w:szCs w:val="20"/>
        </w:rPr>
        <w:t>kupní smlouva o dodávce tepelné energie</w:t>
      </w:r>
      <w:r w:rsidRPr="0077574C">
        <w:rPr>
          <w:b/>
          <w:szCs w:val="20"/>
        </w:rPr>
        <w:t xml:space="preserve"> </w:t>
      </w:r>
      <w:r w:rsidRPr="0077574C">
        <w:rPr>
          <w:szCs w:val="20"/>
        </w:rPr>
        <w:t>– pojem dle EZ, dále také jen „</w:t>
      </w:r>
      <w:r w:rsidRPr="0077574C">
        <w:rPr>
          <w:i/>
          <w:szCs w:val="20"/>
        </w:rPr>
        <w:t>smlouva</w:t>
      </w:r>
      <w:r w:rsidRPr="0077574C">
        <w:rPr>
          <w:szCs w:val="20"/>
        </w:rPr>
        <w:t>“;</w:t>
      </w:r>
    </w:p>
    <w:p w14:paraId="26E39566" w14:textId="6B148390" w:rsidR="0077574C" w:rsidRDefault="0077574C" w:rsidP="00A05E5C">
      <w:pPr>
        <w:numPr>
          <w:ilvl w:val="0"/>
          <w:numId w:val="8"/>
        </w:numPr>
        <w:tabs>
          <w:tab w:val="left" w:pos="851"/>
        </w:tabs>
        <w:spacing w:before="120"/>
        <w:ind w:left="851" w:right="-2" w:hanging="425"/>
        <w:rPr>
          <w:szCs w:val="20"/>
        </w:rPr>
      </w:pPr>
      <w:r w:rsidRPr="0077574C">
        <w:rPr>
          <w:b/>
          <w:szCs w:val="20"/>
        </w:rPr>
        <w:t xml:space="preserve">SV </w:t>
      </w:r>
      <w:r w:rsidR="00FA7D86">
        <w:rPr>
          <w:szCs w:val="20"/>
        </w:rPr>
        <w:t>–</w:t>
      </w:r>
      <w:r w:rsidRPr="0077574C">
        <w:rPr>
          <w:szCs w:val="20"/>
        </w:rPr>
        <w:t xml:space="preserve"> studená voda;</w:t>
      </w:r>
    </w:p>
    <w:p w14:paraId="03E73AD5" w14:textId="633909B7" w:rsidR="0077574C" w:rsidRDefault="0077574C" w:rsidP="00A05E5C">
      <w:pPr>
        <w:numPr>
          <w:ilvl w:val="0"/>
          <w:numId w:val="8"/>
        </w:numPr>
        <w:tabs>
          <w:tab w:val="left" w:pos="851"/>
        </w:tabs>
        <w:spacing w:before="120"/>
        <w:ind w:left="851" w:right="-2" w:hanging="425"/>
        <w:rPr>
          <w:szCs w:val="20"/>
        </w:rPr>
      </w:pPr>
      <w:r w:rsidRPr="0077574C">
        <w:rPr>
          <w:b/>
          <w:bCs/>
          <w:szCs w:val="20"/>
        </w:rPr>
        <w:t>TV</w:t>
      </w:r>
      <w:r w:rsidRPr="0077574C">
        <w:rPr>
          <w:b/>
          <w:szCs w:val="20"/>
        </w:rPr>
        <w:t xml:space="preserve"> </w:t>
      </w:r>
      <w:r w:rsidR="00FA7D86">
        <w:rPr>
          <w:szCs w:val="20"/>
        </w:rPr>
        <w:t>–</w:t>
      </w:r>
      <w:r w:rsidRPr="0077574C">
        <w:rPr>
          <w:szCs w:val="20"/>
        </w:rPr>
        <w:t xml:space="preserve"> teplá voda ve smyslu EZ;</w:t>
      </w:r>
    </w:p>
    <w:p w14:paraId="58C8A983" w14:textId="584D84E6" w:rsidR="0077574C" w:rsidRDefault="0077574C" w:rsidP="00A05E5C">
      <w:pPr>
        <w:numPr>
          <w:ilvl w:val="0"/>
          <w:numId w:val="8"/>
        </w:numPr>
        <w:tabs>
          <w:tab w:val="left" w:pos="851"/>
        </w:tabs>
        <w:spacing w:before="120"/>
        <w:ind w:left="851" w:right="-2" w:hanging="425"/>
        <w:rPr>
          <w:szCs w:val="20"/>
        </w:rPr>
      </w:pPr>
      <w:r w:rsidRPr="0077574C">
        <w:rPr>
          <w:b/>
          <w:bCs/>
          <w:szCs w:val="20"/>
        </w:rPr>
        <w:t>ÚT</w:t>
      </w:r>
      <w:r w:rsidRPr="0077574C">
        <w:rPr>
          <w:b/>
          <w:szCs w:val="20"/>
        </w:rPr>
        <w:t xml:space="preserve"> </w:t>
      </w:r>
      <w:r w:rsidR="00FA7D86">
        <w:rPr>
          <w:szCs w:val="20"/>
        </w:rPr>
        <w:t>–</w:t>
      </w:r>
      <w:r w:rsidRPr="0077574C">
        <w:rPr>
          <w:szCs w:val="20"/>
        </w:rPr>
        <w:t xml:space="preserve"> ústřední</w:t>
      </w:r>
      <w:r w:rsidR="00FA7D86">
        <w:rPr>
          <w:szCs w:val="20"/>
        </w:rPr>
        <w:t xml:space="preserve"> </w:t>
      </w:r>
      <w:r w:rsidRPr="0077574C">
        <w:rPr>
          <w:szCs w:val="20"/>
        </w:rPr>
        <w:t>topení;</w:t>
      </w:r>
    </w:p>
    <w:p w14:paraId="251BDFE8" w14:textId="77777777" w:rsidR="0077574C" w:rsidRPr="00352DCF" w:rsidRDefault="0077574C" w:rsidP="00A05E5C">
      <w:pPr>
        <w:numPr>
          <w:ilvl w:val="0"/>
          <w:numId w:val="8"/>
        </w:numPr>
        <w:tabs>
          <w:tab w:val="left" w:pos="851"/>
        </w:tabs>
        <w:spacing w:before="120"/>
        <w:ind w:left="851" w:right="-2" w:hanging="425"/>
        <w:rPr>
          <w:szCs w:val="20"/>
        </w:rPr>
      </w:pPr>
      <w:r w:rsidRPr="0077574C">
        <w:rPr>
          <w:b/>
          <w:szCs w:val="20"/>
        </w:rPr>
        <w:t xml:space="preserve">úplné zastavení odběru tepla </w:t>
      </w:r>
      <w:r w:rsidRPr="0077574C">
        <w:rPr>
          <w:szCs w:val="20"/>
        </w:rPr>
        <w:t xml:space="preserve">– případ, kdy Odběratel sdělí Dodavateli, že zcela zastavuje odběry tepla </w:t>
      </w:r>
      <w:r w:rsidRPr="0077574C">
        <w:rPr>
          <w:szCs w:val="20"/>
        </w:rPr>
        <w:br/>
      </w:r>
      <w:r w:rsidRPr="00A61D6F">
        <w:rPr>
          <w:szCs w:val="20"/>
        </w:rPr>
        <w:t xml:space="preserve">dle </w:t>
      </w:r>
      <w:r w:rsidRPr="00FE6173">
        <w:rPr>
          <w:szCs w:val="20"/>
        </w:rPr>
        <w:t>smlouvy, popř. případ, kdy Odběratel zcela zastaví odběr tepla na dobu delší jak 6 měsíců, dále také jen „</w:t>
      </w:r>
      <w:r w:rsidRPr="00352DCF">
        <w:rPr>
          <w:i/>
          <w:szCs w:val="20"/>
        </w:rPr>
        <w:t>Úplné zastavení odběru tepla</w:t>
      </w:r>
      <w:r w:rsidRPr="00352DCF">
        <w:rPr>
          <w:szCs w:val="20"/>
        </w:rPr>
        <w:t>“.</w:t>
      </w:r>
    </w:p>
    <w:p w14:paraId="39698E8A" w14:textId="77777777" w:rsidR="0077574C" w:rsidRPr="00BE682B" w:rsidRDefault="0077574C" w:rsidP="00352DCF">
      <w:pPr>
        <w:ind w:left="357"/>
      </w:pPr>
    </w:p>
    <w:bookmarkEnd w:id="0"/>
    <w:p w14:paraId="218E1402" w14:textId="77777777" w:rsidR="00E6442E" w:rsidRDefault="00E6442E" w:rsidP="00666A20">
      <w:pPr>
        <w:pStyle w:val="Nadpis2"/>
        <w:numPr>
          <w:ilvl w:val="0"/>
          <w:numId w:val="3"/>
        </w:numPr>
        <w:spacing w:after="0"/>
      </w:pPr>
    </w:p>
    <w:p w14:paraId="62A25C54" w14:textId="77777777" w:rsidR="00763AE2" w:rsidRDefault="00561B40" w:rsidP="00E6442E">
      <w:pPr>
        <w:pStyle w:val="Nadpis2"/>
        <w:spacing w:before="0"/>
        <w:ind w:firstLine="357"/>
      </w:pPr>
      <w:r>
        <w:t>PŘEDMĚT SMLOUVY, SPECIFIKACE PLNĚNÍ, MNOŽSTVÍ A KVALITA DODÁVEK</w:t>
      </w:r>
    </w:p>
    <w:p w14:paraId="09BCE6EC" w14:textId="0C40E593" w:rsidR="0010299B" w:rsidRDefault="00561B40" w:rsidP="00666A20">
      <w:pPr>
        <w:numPr>
          <w:ilvl w:val="0"/>
          <w:numId w:val="7"/>
        </w:numPr>
        <w:ind w:left="426" w:hanging="426"/>
      </w:pPr>
      <w:r w:rsidRPr="00561B40">
        <w:t xml:space="preserve">Předmětem této smlouvy je závazek Dodavatele dodávat Odběrateli tepelnou energii </w:t>
      </w:r>
      <w:r w:rsidR="00840002">
        <w:t>ze Zdrojové části</w:t>
      </w:r>
      <w:r w:rsidR="005952A4">
        <w:t xml:space="preserve"> a Zdroje KVET </w:t>
      </w:r>
      <w:r w:rsidR="00F74C7A">
        <w:t xml:space="preserve">v minimálním objemu </w:t>
      </w:r>
      <w:r w:rsidR="0012771D" w:rsidRPr="001B55BE">
        <w:t>3978</w:t>
      </w:r>
      <w:r w:rsidR="0012771D" w:rsidRPr="00A14A03">
        <w:t xml:space="preserve"> GJ/rok</w:t>
      </w:r>
      <w:r w:rsidR="00F74C7A" w:rsidRPr="00561B40">
        <w:t xml:space="preserve"> </w:t>
      </w:r>
      <w:r w:rsidRPr="00561B40">
        <w:t>do odběrných míst Odběratele uvedených v </w:t>
      </w:r>
      <w:hyperlink w:anchor="priloha_1" w:history="1">
        <w:r w:rsidRPr="00561B40">
          <w:rPr>
            <w:rStyle w:val="Hypertextovodkaz"/>
            <w:color w:val="auto"/>
            <w:u w:val="none"/>
          </w:rPr>
          <w:t>příloze č. 2</w:t>
        </w:r>
      </w:hyperlink>
      <w:r w:rsidRPr="00561B40">
        <w:t xml:space="preserve"> „Odběrový diagram“ (dále pouze „</w:t>
      </w:r>
      <w:r w:rsidRPr="00561B40">
        <w:rPr>
          <w:b/>
          <w:i/>
        </w:rPr>
        <w:t>Odběrná místa</w:t>
      </w:r>
      <w:r w:rsidRPr="00561B40">
        <w:t>“) a závazek Odběratele tuto tepelnou energii odebrat a zaplatit za ni cenu sjednanou v této smlouvě.</w:t>
      </w:r>
    </w:p>
    <w:p w14:paraId="44891D52" w14:textId="77777777" w:rsidR="00D22137" w:rsidRDefault="00561B40" w:rsidP="00666A20">
      <w:pPr>
        <w:numPr>
          <w:ilvl w:val="0"/>
          <w:numId w:val="7"/>
        </w:numPr>
        <w:ind w:left="426" w:hanging="426"/>
      </w:pPr>
      <w:r w:rsidRPr="00561B40">
        <w:t xml:space="preserve">Za splnění dodávky v Odběrném místě se považuje přechod teplonosného média do zařízení Odběratele </w:t>
      </w:r>
      <w:r w:rsidR="007B747D" w:rsidRPr="007B747D">
        <w:t>v předávacím místě (dále pouze „</w:t>
      </w:r>
      <w:r w:rsidR="007B747D" w:rsidRPr="007B747D">
        <w:rPr>
          <w:b/>
          <w:i/>
        </w:rPr>
        <w:t>Předávací místo</w:t>
      </w:r>
      <w:r w:rsidR="007B747D" w:rsidRPr="007B747D">
        <w:t>“)</w:t>
      </w:r>
      <w:r w:rsidRPr="00561B40">
        <w:t xml:space="preserve">. K přechodu vlastnictví dodávaného tepla v Odběrném místě mezi smluvními stranami dochází při vstupu tepla do zařízení Odběratele v Předávacím místě. </w:t>
      </w:r>
    </w:p>
    <w:p w14:paraId="5B369F97" w14:textId="77777777" w:rsidR="00D22137" w:rsidRDefault="00561B40" w:rsidP="00666A20">
      <w:pPr>
        <w:numPr>
          <w:ilvl w:val="0"/>
          <w:numId w:val="7"/>
        </w:numPr>
        <w:ind w:left="426" w:hanging="426"/>
      </w:pPr>
      <w:r w:rsidRPr="00561B40">
        <w:t>Dodávku tepelné energie měří a účtuje Dodavatel podle údajů instalovaného měřiče tepla (dále pouze „</w:t>
      </w:r>
      <w:r w:rsidRPr="00D22137">
        <w:rPr>
          <w:b/>
          <w:i/>
        </w:rPr>
        <w:t>Měřidlo</w:t>
      </w:r>
      <w:r w:rsidRPr="00561B40">
        <w:t xml:space="preserve">“), jehož metrologické a technické vlastnosti byly ověřeny příslušným státním orgánem, a které </w:t>
      </w:r>
      <w:r w:rsidR="00A156B4">
        <w:br/>
      </w:r>
      <w:r w:rsidRPr="00561B40">
        <w:t xml:space="preserve">v Odběrném místě na své náklady instaluje, zapojí a udržuje tak, aby jím bylo zabezpečeno přesné měření dodávek tepelné energie Odběrateli. </w:t>
      </w:r>
    </w:p>
    <w:p w14:paraId="599544A9" w14:textId="77777777" w:rsidR="001170DE" w:rsidRDefault="001170DE" w:rsidP="00666A20">
      <w:pPr>
        <w:numPr>
          <w:ilvl w:val="0"/>
          <w:numId w:val="7"/>
        </w:numPr>
        <w:ind w:left="426" w:hanging="426"/>
      </w:pPr>
      <w:r>
        <w:t>Elektrickou energii vyrobenou ve Zdroji KVET, může Dodavatel použít dle svého uvážení.</w:t>
      </w:r>
    </w:p>
    <w:p w14:paraId="4E77FB4F" w14:textId="466DEF16" w:rsidR="00B61939" w:rsidRDefault="00B61939" w:rsidP="00666A20">
      <w:pPr>
        <w:numPr>
          <w:ilvl w:val="0"/>
          <w:numId w:val="7"/>
        </w:numPr>
        <w:ind w:left="426" w:hanging="426"/>
      </w:pPr>
      <w:r w:rsidRPr="001B55BE">
        <w:t>Odběratel m</w:t>
      </w:r>
      <w:r w:rsidR="007957AE" w:rsidRPr="001B55BE">
        <w:t xml:space="preserve">á právo požadovat po </w:t>
      </w:r>
      <w:r w:rsidR="005A5F6C" w:rsidRPr="001B55BE">
        <w:t>D</w:t>
      </w:r>
      <w:r w:rsidR="007957AE" w:rsidRPr="001B55BE">
        <w:t xml:space="preserve">odavateli uhrazení smluvní pokuty za nedodržení a přerušení dodávek tepla při nedodržení doby odstranění závady garantované </w:t>
      </w:r>
      <w:r w:rsidR="005A5F6C" w:rsidRPr="001B55BE">
        <w:t>D</w:t>
      </w:r>
      <w:r w:rsidR="007957AE" w:rsidRPr="001B55BE">
        <w:t>odavatelem dle</w:t>
      </w:r>
      <w:r w:rsidR="007D399A" w:rsidRPr="001B55BE">
        <w:t xml:space="preserve"> čl. </w:t>
      </w:r>
      <w:r w:rsidR="00A053ED" w:rsidRPr="001B55BE">
        <w:t>V</w:t>
      </w:r>
      <w:r w:rsidR="00A01871" w:rsidRPr="001B55BE">
        <w:t>.</w:t>
      </w:r>
      <w:r w:rsidR="007D399A" w:rsidRPr="001B55BE">
        <w:t xml:space="preserve"> </w:t>
      </w:r>
      <w:r w:rsidR="00A053ED" w:rsidRPr="001B55BE">
        <w:t>odst.</w:t>
      </w:r>
      <w:r w:rsidR="007D399A" w:rsidRPr="001B55BE">
        <w:t xml:space="preserve"> </w:t>
      </w:r>
      <w:r w:rsidR="00A053ED" w:rsidRPr="001B55BE">
        <w:t>6.5</w:t>
      </w:r>
      <w:r w:rsidR="007D399A" w:rsidRPr="001B55BE">
        <w:t>.</w:t>
      </w:r>
      <w:r w:rsidR="00A01871" w:rsidRPr="001B55BE">
        <w:t xml:space="preserve"> této </w:t>
      </w:r>
      <w:r w:rsidR="001B55BE" w:rsidRPr="001B55BE">
        <w:t>smlouvy Výše</w:t>
      </w:r>
      <w:r w:rsidR="007957AE" w:rsidRPr="001B55BE">
        <w:t xml:space="preserve"> smluvní pokuty je stanovena na </w:t>
      </w:r>
      <w:r w:rsidR="0091061C" w:rsidRPr="001B55BE">
        <w:t xml:space="preserve">12 </w:t>
      </w:r>
      <w:r w:rsidR="007957AE" w:rsidRPr="001B55BE">
        <w:t>000,- Kč za každý den prodlení s odstraněním závady.</w:t>
      </w:r>
      <w:r w:rsidR="00A053ED" w:rsidRPr="001B55BE">
        <w:t xml:space="preserve"> Dodavatel má povinnost tuto smluvní pokutu zaplatit.</w:t>
      </w:r>
    </w:p>
    <w:p w14:paraId="6BF0DF76" w14:textId="0C25EB8A" w:rsidR="00D22137" w:rsidRDefault="00561B40" w:rsidP="00666A20">
      <w:pPr>
        <w:numPr>
          <w:ilvl w:val="0"/>
          <w:numId w:val="7"/>
        </w:numPr>
        <w:ind w:left="426" w:hanging="426"/>
      </w:pPr>
      <w:r w:rsidRPr="00561B40">
        <w:t xml:space="preserve">Konkrétní sjednané parametry dodávek tepelné energie jsou následující (další specifikace </w:t>
      </w:r>
      <w:r w:rsidR="007926DC">
        <w:t xml:space="preserve">parametrů dodávek tepelné energie, případně jiných technických podmínek, </w:t>
      </w:r>
      <w:r w:rsidRPr="00561B40">
        <w:t>je uvedena v přílohách této smlouvy</w:t>
      </w:r>
      <w:r w:rsidR="007926DC">
        <w:t xml:space="preserve"> nebo v</w:t>
      </w:r>
      <w:r w:rsidR="00A01871">
        <w:t> Pachtovní s</w:t>
      </w:r>
      <w:r w:rsidR="007926DC">
        <w:t>mlouvě</w:t>
      </w:r>
      <w:r w:rsidRPr="00561B40">
        <w:t>):</w:t>
      </w:r>
    </w:p>
    <w:p w14:paraId="12B9A2F0" w14:textId="77777777" w:rsidR="00D22137" w:rsidRDefault="00561B40" w:rsidP="00D22137">
      <w:pPr>
        <w:ind w:left="426"/>
      </w:pPr>
      <w:r w:rsidRPr="00561B40">
        <w:t>Teplonosné médium:</w:t>
      </w:r>
      <w:r w:rsidRPr="00561B40">
        <w:tab/>
      </w:r>
      <w:bookmarkStart w:id="2" w:name="Text116"/>
      <w:r w:rsidRPr="00561B40">
        <w:tab/>
      </w:r>
      <w:r w:rsidRPr="00561B40">
        <w:tab/>
      </w:r>
      <w:r w:rsidRPr="00561B40">
        <w:tab/>
      </w:r>
      <w:r>
        <w:tab/>
      </w:r>
      <w:r>
        <w:tab/>
      </w:r>
      <w:bookmarkEnd w:id="2"/>
      <w:r w:rsidR="00F465A1">
        <w:tab/>
      </w:r>
      <w:r w:rsidR="002273E5">
        <w:t>topná voda</w:t>
      </w:r>
    </w:p>
    <w:p w14:paraId="76AC8868" w14:textId="77777777" w:rsidR="00D22137" w:rsidRPr="001B55BE" w:rsidRDefault="00561B40" w:rsidP="00D22137">
      <w:pPr>
        <w:ind w:left="426"/>
      </w:pPr>
      <w:r w:rsidRPr="00561B40">
        <w:t>Teplota teplonosného média výstupní/vstupní max. v</w:t>
      </w:r>
      <w:r w:rsidR="00BB2CBE">
        <w:t> předávacím místě</w:t>
      </w:r>
      <w:r>
        <w:tab/>
      </w:r>
      <w:r w:rsidR="004F5468" w:rsidRPr="001B55BE">
        <w:t xml:space="preserve">90/70 </w:t>
      </w:r>
      <w:proofErr w:type="gramStart"/>
      <w:r w:rsidRPr="001B55BE">
        <w:rPr>
          <w:vertAlign w:val="superscript"/>
        </w:rPr>
        <w:t>0</w:t>
      </w:r>
      <w:r w:rsidRPr="001B55BE">
        <w:t>C</w:t>
      </w:r>
      <w:proofErr w:type="gramEnd"/>
    </w:p>
    <w:p w14:paraId="53F9F8F6" w14:textId="77777777" w:rsidR="00D22137" w:rsidRPr="001B55BE" w:rsidRDefault="00561B40" w:rsidP="00D22137">
      <w:pPr>
        <w:ind w:left="426"/>
      </w:pPr>
      <w:r w:rsidRPr="001B55BE">
        <w:t>Maximální tlak v soustavě Odběratele v Předávacím místě:</w:t>
      </w:r>
      <w:r w:rsidRPr="001B55BE">
        <w:tab/>
      </w:r>
      <w:r w:rsidRPr="001B55BE">
        <w:tab/>
      </w:r>
      <w:r w:rsidR="004F5468" w:rsidRPr="001B55BE">
        <w:t xml:space="preserve">0,6 </w:t>
      </w:r>
      <w:proofErr w:type="spellStart"/>
      <w:r w:rsidRPr="001B55BE">
        <w:t>MPa</w:t>
      </w:r>
      <w:proofErr w:type="spellEnd"/>
      <w:r w:rsidRPr="001B55BE" w:rsidDel="001D366F">
        <w:t xml:space="preserve"> </w:t>
      </w:r>
    </w:p>
    <w:p w14:paraId="37D0E6E2" w14:textId="25C9B752" w:rsidR="00D22137" w:rsidRPr="001B55BE" w:rsidRDefault="00561B40" w:rsidP="00BB2CBE">
      <w:pPr>
        <w:spacing w:before="360"/>
        <w:ind w:left="425"/>
      </w:pPr>
      <w:r w:rsidRPr="001B55BE">
        <w:t xml:space="preserve">Dodávka tepla </w:t>
      </w:r>
      <w:r w:rsidR="004F5468" w:rsidRPr="001B55BE">
        <w:t>pro ohřev teplé vody mimo topné období</w:t>
      </w:r>
      <w:r w:rsidRPr="001B55BE">
        <w:t xml:space="preserve">: </w:t>
      </w:r>
      <w:r w:rsidRPr="001B55BE">
        <w:tab/>
      </w:r>
      <w:r w:rsidR="00BB2CBE" w:rsidRPr="001B55BE">
        <w:tab/>
      </w:r>
      <w:r w:rsidR="004F5468" w:rsidRPr="001B55BE">
        <w:t>24 hod</w:t>
      </w:r>
      <w:r w:rsidR="00410A0F" w:rsidRPr="001B55BE">
        <w:t xml:space="preserve"> denně</w:t>
      </w:r>
      <w:r w:rsidRPr="001B55BE">
        <w:tab/>
      </w:r>
      <w:r w:rsidRPr="001B55BE">
        <w:tab/>
      </w:r>
    </w:p>
    <w:p w14:paraId="64364D0F" w14:textId="71CC02FA" w:rsidR="00D22137" w:rsidRDefault="00561B40" w:rsidP="006A53E9">
      <w:pPr>
        <w:ind w:left="425"/>
      </w:pPr>
      <w:r w:rsidRPr="001B55BE">
        <w:t>Dodávka tepl</w:t>
      </w:r>
      <w:r w:rsidR="004F5468" w:rsidRPr="001B55BE">
        <w:t>a</w:t>
      </w:r>
      <w:r w:rsidR="00410A0F" w:rsidRPr="001B55BE">
        <w:t xml:space="preserve"> v topném období:</w:t>
      </w:r>
      <w:r w:rsidR="00410A0F" w:rsidRPr="001B55BE">
        <w:tab/>
      </w:r>
      <w:r w:rsidR="00C20E6C" w:rsidRPr="001B55BE">
        <w:tab/>
      </w:r>
      <w:r w:rsidR="00C20E6C" w:rsidRPr="001B55BE">
        <w:tab/>
      </w:r>
      <w:r w:rsidR="00C20E6C" w:rsidRPr="001B55BE">
        <w:tab/>
      </w:r>
      <w:r w:rsidR="00C20E6C" w:rsidRPr="001B55BE">
        <w:tab/>
        <w:t>24 hod</w:t>
      </w:r>
      <w:r w:rsidR="00C20E6C">
        <w:t xml:space="preserve"> denně</w:t>
      </w:r>
    </w:p>
    <w:p w14:paraId="123713F1" w14:textId="77777777" w:rsidR="00D22137" w:rsidRDefault="00561B40" w:rsidP="00D22137">
      <w:pPr>
        <w:spacing w:before="360"/>
        <w:ind w:left="425"/>
      </w:pPr>
      <w:r w:rsidRPr="00561B40">
        <w:t>Předávacím místem je: Měřidlo</w:t>
      </w:r>
    </w:p>
    <w:p w14:paraId="6604AFB5" w14:textId="77777777" w:rsidR="005A59BF" w:rsidRDefault="00561B40" w:rsidP="00D22137">
      <w:pPr>
        <w:ind w:left="425"/>
      </w:pPr>
      <w:r w:rsidRPr="00561B40">
        <w:t>Napojovacím místem pro zařízení Odběratele j</w:t>
      </w:r>
      <w:r w:rsidR="004F5468">
        <w:t xml:space="preserve">sou uzavírací armatury na rozvodném zařízení </w:t>
      </w:r>
      <w:r w:rsidR="0059094C">
        <w:t>D</w:t>
      </w:r>
      <w:r w:rsidR="004F5468">
        <w:t>odavatele v kotelně</w:t>
      </w:r>
      <w:r w:rsidR="00E6442E" w:rsidRPr="00E6442E">
        <w:t>.</w:t>
      </w:r>
    </w:p>
    <w:p w14:paraId="5CD5A492" w14:textId="77777777" w:rsidR="00E51916" w:rsidRDefault="00E51916" w:rsidP="00D22137">
      <w:pPr>
        <w:ind w:left="425"/>
      </w:pPr>
    </w:p>
    <w:p w14:paraId="0B174B83" w14:textId="77777777" w:rsidR="00E6442E" w:rsidRDefault="00E6442E" w:rsidP="00666A20">
      <w:pPr>
        <w:pStyle w:val="Nadpis2"/>
        <w:numPr>
          <w:ilvl w:val="0"/>
          <w:numId w:val="3"/>
        </w:numPr>
        <w:spacing w:after="0"/>
      </w:pPr>
    </w:p>
    <w:p w14:paraId="17B8853C" w14:textId="77777777" w:rsidR="00AC6096" w:rsidRDefault="00561B40" w:rsidP="00E6442E">
      <w:pPr>
        <w:pStyle w:val="Nadpis2"/>
        <w:spacing w:before="0"/>
        <w:ind w:left="360"/>
      </w:pPr>
      <w:r>
        <w:t>ceny za dodávky tepla</w:t>
      </w:r>
    </w:p>
    <w:p w14:paraId="1CDBFB75" w14:textId="77777777" w:rsidR="008F349B" w:rsidRDefault="008F349B" w:rsidP="00666A20">
      <w:pPr>
        <w:numPr>
          <w:ilvl w:val="1"/>
          <w:numId w:val="9"/>
        </w:numPr>
        <w:ind w:left="426" w:hanging="426"/>
      </w:pPr>
      <w:bookmarkStart w:id="3" w:name="_Ref295378890"/>
      <w:r w:rsidRPr="00E25647">
        <w:t>Cena tepelné energie je tvořena v souladu se zákonem č. 526/1990 Sb., o cenách, ve znění pozdějších předpisů, s prováděcí vyhláškou č. 450/2009 Sb., ve znění pozdějších předpisů, a v souladu s platnými cenovými rozhodnutími Energetického regulačního úřadu.</w:t>
      </w:r>
    </w:p>
    <w:p w14:paraId="3E4A74DF" w14:textId="77777777" w:rsidR="008F349B" w:rsidRDefault="008F349B" w:rsidP="00666A20">
      <w:pPr>
        <w:numPr>
          <w:ilvl w:val="1"/>
          <w:numId w:val="9"/>
        </w:numPr>
        <w:ind w:left="426" w:hanging="426"/>
      </w:pPr>
      <w:r>
        <w:t>Odběratel se zavazuje uhradit Dodavateli cenu tepelné energie ve výši a za podmínek sjednaných v příloze č. 1 „Cenové ujednání“ k této smlouvě. Jakékoli platby za tepelnou energii dle této smlouvy budou hrazeny na výše uvedený účet Dodavatele, a to řádně a včas.</w:t>
      </w:r>
    </w:p>
    <w:p w14:paraId="49725FC9" w14:textId="77777777" w:rsidR="008F349B" w:rsidRDefault="008F349B" w:rsidP="00666A20">
      <w:pPr>
        <w:numPr>
          <w:ilvl w:val="1"/>
          <w:numId w:val="9"/>
        </w:numPr>
        <w:ind w:left="426" w:hanging="426"/>
      </w:pPr>
      <w:r w:rsidRPr="001D45C7">
        <w:t>Účetním a fakturačním obdobím je kalendářní měsíc, pokud si strany nedohodnou jinak.</w:t>
      </w:r>
    </w:p>
    <w:p w14:paraId="43D17484" w14:textId="77777777" w:rsidR="008F349B" w:rsidRDefault="008F349B" w:rsidP="00666A20">
      <w:pPr>
        <w:numPr>
          <w:ilvl w:val="1"/>
          <w:numId w:val="9"/>
        </w:numPr>
        <w:ind w:left="426" w:hanging="426"/>
      </w:pPr>
      <w:r w:rsidRPr="00646E7D">
        <w:t>Rozhodující pro posouzení včasnosti platby je datum, kdy úhrada byla připsána na účet Dodavatele.</w:t>
      </w:r>
    </w:p>
    <w:p w14:paraId="556FC544" w14:textId="77777777" w:rsidR="008F349B" w:rsidRDefault="008F349B" w:rsidP="00666A20">
      <w:pPr>
        <w:numPr>
          <w:ilvl w:val="1"/>
          <w:numId w:val="9"/>
        </w:numPr>
        <w:ind w:left="426" w:hanging="426"/>
      </w:pPr>
      <w:r w:rsidRPr="00E25647">
        <w:t>Faktur</w:t>
      </w:r>
      <w:r>
        <w:t>y</w:t>
      </w:r>
      <w:r w:rsidRPr="00E25647">
        <w:t xml:space="preserve"> za dodávky tepla bud</w:t>
      </w:r>
      <w:r>
        <w:t>ou</w:t>
      </w:r>
      <w:r w:rsidRPr="00E25647">
        <w:t xml:space="preserve"> vystav</w:t>
      </w:r>
      <w:r>
        <w:t>ovány do 15. dne následujícího měsíce</w:t>
      </w:r>
      <w:r w:rsidRPr="00E25647">
        <w:t xml:space="preserve"> se splatností 14 dnů</w:t>
      </w:r>
      <w:bookmarkStart w:id="4" w:name="clanek_3_4"/>
      <w:bookmarkEnd w:id="4"/>
      <w:r>
        <w:t xml:space="preserve"> ode dne </w:t>
      </w:r>
      <w:r w:rsidR="009C368D">
        <w:t xml:space="preserve">doručení </w:t>
      </w:r>
      <w:r>
        <w:t xml:space="preserve">faktury. </w:t>
      </w:r>
    </w:p>
    <w:p w14:paraId="3BEFAF53" w14:textId="77777777" w:rsidR="005A59BF" w:rsidRDefault="008F349B" w:rsidP="00666A20">
      <w:pPr>
        <w:numPr>
          <w:ilvl w:val="1"/>
          <w:numId w:val="9"/>
        </w:numPr>
        <w:ind w:left="426" w:hanging="426"/>
      </w:pPr>
      <w:r w:rsidRPr="00D94205">
        <w:t xml:space="preserve">Při prodlení s jakoukoli platbou dle této smlouvy je Dodavatel oprávněn požadovat po </w:t>
      </w:r>
      <w:r w:rsidR="005A5F6C">
        <w:t>Odběra</w:t>
      </w:r>
      <w:r w:rsidR="005A5F6C" w:rsidRPr="00D94205">
        <w:t xml:space="preserve">teli </w:t>
      </w:r>
      <w:r w:rsidR="006810D2">
        <w:t>úrok z prodlení</w:t>
      </w:r>
      <w:r w:rsidRPr="00D94205">
        <w:t xml:space="preserve"> </w:t>
      </w:r>
      <w:r w:rsidR="00892EE8">
        <w:t>v zákonem stanovené výši</w:t>
      </w:r>
      <w:r w:rsidR="00E6442E" w:rsidRPr="007C5D48">
        <w:t>.</w:t>
      </w:r>
      <w:r w:rsidR="009D5592">
        <w:t xml:space="preserve"> </w:t>
      </w:r>
      <w:bookmarkEnd w:id="3"/>
    </w:p>
    <w:p w14:paraId="7525D306" w14:textId="77777777" w:rsidR="00E51916" w:rsidRPr="00172111" w:rsidRDefault="00E51916" w:rsidP="00E51916">
      <w:pPr>
        <w:ind w:left="426"/>
      </w:pPr>
    </w:p>
    <w:p w14:paraId="471D7F25" w14:textId="77777777" w:rsidR="00C40B53" w:rsidRDefault="00C40B53" w:rsidP="00666A20">
      <w:pPr>
        <w:pStyle w:val="Nadpis2"/>
        <w:numPr>
          <w:ilvl w:val="0"/>
          <w:numId w:val="3"/>
        </w:numPr>
        <w:spacing w:after="0"/>
      </w:pPr>
      <w:bookmarkStart w:id="5" w:name="_Ref313266608"/>
    </w:p>
    <w:p w14:paraId="51A392EB" w14:textId="77777777" w:rsidR="009D5592" w:rsidRDefault="008F349B" w:rsidP="00C40B53">
      <w:pPr>
        <w:pStyle w:val="Nadpis2"/>
        <w:spacing w:before="0"/>
        <w:ind w:left="360"/>
      </w:pPr>
      <w:r>
        <w:t>TRVÁNÍ A UKONČENÍ PLATNOSTI SMLOUVY</w:t>
      </w:r>
    </w:p>
    <w:p w14:paraId="64A3F655" w14:textId="1F35BF8F" w:rsidR="00CB09CC" w:rsidRPr="00D40030" w:rsidRDefault="00CB09CC" w:rsidP="00666A20">
      <w:pPr>
        <w:numPr>
          <w:ilvl w:val="0"/>
          <w:numId w:val="1"/>
        </w:numPr>
      </w:pPr>
      <w:bookmarkStart w:id="6" w:name="_Hlk69900450"/>
      <w:bookmarkEnd w:id="5"/>
      <w:r w:rsidRPr="00D40030">
        <w:rPr>
          <w:rFonts w:cs="Segoe UI"/>
          <w:szCs w:val="18"/>
        </w:rPr>
        <w:t>Smluvní strany berou na vědomí, že na tuto smlouvu dopadá povinnost uveřejnění v registru smluv ve smyslu zákona č. 340/2015 Sb., o zvláštních podmínkách účinnosti některých smluv, uveřejňování těchto smluv a o registru smluv (zákon o registru smluv), ve znění pozdějších předpisů.</w:t>
      </w:r>
      <w:bookmarkEnd w:id="6"/>
      <w:r w:rsidR="008144E9" w:rsidRPr="00D40030">
        <w:rPr>
          <w:szCs w:val="18"/>
        </w:rPr>
        <w:t xml:space="preserve"> </w:t>
      </w:r>
      <w:r w:rsidR="008144E9" w:rsidRPr="00D40030">
        <w:t>Tato smlouva nabývá účinnosti dnem zveřejnění v registru smluv.</w:t>
      </w:r>
    </w:p>
    <w:p w14:paraId="5F898B15" w14:textId="69C0A396" w:rsidR="00E127F6" w:rsidRPr="008F349B" w:rsidRDefault="008F349B" w:rsidP="00E127F6">
      <w:pPr>
        <w:numPr>
          <w:ilvl w:val="0"/>
          <w:numId w:val="1"/>
        </w:numPr>
      </w:pPr>
      <w:r w:rsidRPr="00D40030">
        <w:t>Tato smlouva nabývá platnosti dnem podpisu oběma smluvními stranami</w:t>
      </w:r>
      <w:r w:rsidR="00F420A0" w:rsidRPr="00D40030">
        <w:t xml:space="preserve">, přičemž dodávky tepelné energie budou zahájeny od okamžiku uvedení </w:t>
      </w:r>
      <w:r w:rsidR="00770D0B" w:rsidRPr="00D40030">
        <w:t>Zdrojové části</w:t>
      </w:r>
      <w:r w:rsidR="00F420A0" w:rsidRPr="00D40030">
        <w:t xml:space="preserve"> do provozu (případně zkušebního provozu).</w:t>
      </w:r>
      <w:r w:rsidRPr="008F349B">
        <w:t xml:space="preserve"> </w:t>
      </w:r>
      <w:r w:rsidR="00F420A0">
        <w:t xml:space="preserve">Tato smlouva </w:t>
      </w:r>
      <w:r w:rsidR="00E127F6" w:rsidRPr="00E127F6">
        <w:t xml:space="preserve">je uzavírána na dobu určitou v trvání 15 let ode dne vydání kolaudačního souhlasu nebo pravomocného kolaudačního rozhodnutí pro užívání Zdroje KVET. </w:t>
      </w:r>
      <w:r w:rsidR="00E127F6">
        <w:t>Dodavatel</w:t>
      </w:r>
      <w:r w:rsidR="00E127F6" w:rsidRPr="00E127F6">
        <w:t xml:space="preserve"> se zavazuje poskytnout </w:t>
      </w:r>
      <w:r w:rsidR="00E127F6">
        <w:t>Odběra</w:t>
      </w:r>
      <w:r w:rsidR="00E127F6" w:rsidRPr="00E127F6">
        <w:t>teli kopii kolaudačního souhlasu či pravomocného kolaudačního rozhodnutí, a to bez zbytečného odkladu po jeho získání.</w:t>
      </w:r>
    </w:p>
    <w:p w14:paraId="3A961505" w14:textId="3B95B316" w:rsidR="00E127F6" w:rsidRDefault="00E127F6" w:rsidP="00E127F6">
      <w:pPr>
        <w:pStyle w:val="Odstavecseseznamem"/>
        <w:numPr>
          <w:ilvl w:val="1"/>
          <w:numId w:val="26"/>
        </w:numPr>
        <w:spacing w:after="120" w:line="240" w:lineRule="auto"/>
        <w:ind w:left="851" w:hanging="425"/>
        <w:contextualSpacing w:val="0"/>
        <w:jc w:val="both"/>
        <w:rPr>
          <w:rFonts w:ascii="Segoe UI" w:hAnsi="Segoe UI" w:cs="Segoe UI"/>
          <w:szCs w:val="18"/>
        </w:rPr>
      </w:pPr>
      <w:r w:rsidRPr="00D26A42">
        <w:rPr>
          <w:rFonts w:ascii="Segoe UI" w:hAnsi="Segoe UI" w:cs="Segoe UI"/>
          <w:szCs w:val="18"/>
        </w:rPr>
        <w:t xml:space="preserve">Smluvní strany ujednávají, že pokud jedna ze smluvních stran vždy nejpozději 9 měsíců před ukončením platnosti této smlouvy nedoručí druhé smluvní straně písemné oznámení o jejím skončení, tato smlouva se automaticky prodlužuje o další </w:t>
      </w:r>
      <w:r w:rsidR="009A5776">
        <w:rPr>
          <w:rFonts w:ascii="Segoe UI" w:hAnsi="Segoe UI" w:cs="Segoe UI"/>
          <w:szCs w:val="18"/>
        </w:rPr>
        <w:t xml:space="preserve">1 rok </w:t>
      </w:r>
      <w:r w:rsidRPr="00D26A42">
        <w:rPr>
          <w:rFonts w:ascii="Segoe UI" w:hAnsi="Segoe UI" w:cs="Segoe UI"/>
          <w:szCs w:val="18"/>
        </w:rPr>
        <w:t>za jinak nezměněných podmínek. To platí automaticky i dále pro každé další následné prodloužení této smlouvy.</w:t>
      </w:r>
    </w:p>
    <w:p w14:paraId="2AB13A6F" w14:textId="58F4EC37" w:rsidR="00E127F6" w:rsidRPr="00D26A42" w:rsidRDefault="00E127F6" w:rsidP="00E127F6">
      <w:pPr>
        <w:pStyle w:val="Odstavecseseznamem"/>
        <w:numPr>
          <w:ilvl w:val="1"/>
          <w:numId w:val="26"/>
        </w:numPr>
        <w:spacing w:after="120" w:line="240" w:lineRule="auto"/>
        <w:ind w:left="851" w:hanging="425"/>
        <w:contextualSpacing w:val="0"/>
        <w:jc w:val="both"/>
        <w:rPr>
          <w:rFonts w:ascii="Segoe UI" w:hAnsi="Segoe UI" w:cs="Segoe UI"/>
          <w:szCs w:val="18"/>
        </w:rPr>
      </w:pPr>
      <w:r w:rsidRPr="00D26A42">
        <w:rPr>
          <w:rFonts w:ascii="Segoe UI" w:hAnsi="Segoe UI" w:cs="Segoe UI"/>
          <w:szCs w:val="18"/>
        </w:rPr>
        <w:t xml:space="preserve">Smluvní strany </w:t>
      </w:r>
      <w:r>
        <w:rPr>
          <w:rFonts w:ascii="Segoe UI" w:hAnsi="Segoe UI" w:cs="Segoe UI"/>
          <w:szCs w:val="18"/>
        </w:rPr>
        <w:t xml:space="preserve">dále ujednávají, že tato smlouva se automaticky prodlužuje v případě, že z důvodu na straně </w:t>
      </w:r>
      <w:r w:rsidR="00E147F6">
        <w:rPr>
          <w:rFonts w:ascii="Segoe UI" w:hAnsi="Segoe UI" w:cs="Segoe UI"/>
          <w:szCs w:val="18"/>
        </w:rPr>
        <w:t>Odběratele</w:t>
      </w:r>
      <w:r>
        <w:rPr>
          <w:rFonts w:ascii="Segoe UI" w:hAnsi="Segoe UI" w:cs="Segoe UI"/>
          <w:szCs w:val="18"/>
        </w:rPr>
        <w:t xml:space="preserve"> dojde na dobu delší </w:t>
      </w:r>
      <w:r w:rsidRPr="001B55BE">
        <w:rPr>
          <w:rFonts w:ascii="Segoe UI" w:hAnsi="Segoe UI" w:cs="Segoe UI"/>
          <w:szCs w:val="18"/>
        </w:rPr>
        <w:t>než 14 dnů</w:t>
      </w:r>
      <w:r>
        <w:rPr>
          <w:rFonts w:ascii="Segoe UI" w:hAnsi="Segoe UI" w:cs="Segoe UI"/>
          <w:szCs w:val="18"/>
        </w:rPr>
        <w:t xml:space="preserve"> k přerušení </w:t>
      </w:r>
      <w:r w:rsidR="000E484C">
        <w:rPr>
          <w:rFonts w:ascii="Segoe UI" w:hAnsi="Segoe UI" w:cs="Segoe UI"/>
          <w:szCs w:val="18"/>
        </w:rPr>
        <w:t xml:space="preserve">odběru </w:t>
      </w:r>
      <w:r>
        <w:rPr>
          <w:rFonts w:ascii="Segoe UI" w:hAnsi="Segoe UI" w:cs="Segoe UI"/>
          <w:szCs w:val="18"/>
        </w:rPr>
        <w:t xml:space="preserve">tepelné energie či elektřiny dle </w:t>
      </w:r>
      <w:r w:rsidR="00E147F6">
        <w:rPr>
          <w:rFonts w:ascii="Segoe UI" w:hAnsi="Segoe UI" w:cs="Segoe UI"/>
          <w:szCs w:val="18"/>
        </w:rPr>
        <w:t>této smlouvy</w:t>
      </w:r>
      <w:r w:rsidRPr="0098346C">
        <w:rPr>
          <w:rFonts w:ascii="Segoe UI" w:hAnsi="Segoe UI" w:cs="Segoe UI"/>
          <w:szCs w:val="18"/>
        </w:rPr>
        <w:t>, resp. dle Smlouvy o dodávce elektřiny</w:t>
      </w:r>
      <w:r>
        <w:rPr>
          <w:rFonts w:ascii="Segoe UI" w:hAnsi="Segoe UI" w:cs="Segoe UI"/>
          <w:szCs w:val="18"/>
        </w:rPr>
        <w:t xml:space="preserve">, a to o dobu, po kterou byl </w:t>
      </w:r>
      <w:r w:rsidR="0081347F">
        <w:rPr>
          <w:rFonts w:ascii="Segoe UI" w:hAnsi="Segoe UI" w:cs="Segoe UI"/>
          <w:szCs w:val="18"/>
        </w:rPr>
        <w:t xml:space="preserve">odběr </w:t>
      </w:r>
      <w:r>
        <w:rPr>
          <w:rFonts w:ascii="Segoe UI" w:hAnsi="Segoe UI" w:cs="Segoe UI"/>
          <w:szCs w:val="18"/>
        </w:rPr>
        <w:t>tepelné energie či elektřiny přerušen.</w:t>
      </w:r>
    </w:p>
    <w:p w14:paraId="2CE30007" w14:textId="1EA9158F" w:rsidR="008F349B" w:rsidRPr="008F349B" w:rsidRDefault="008F349B" w:rsidP="00666A20">
      <w:pPr>
        <w:numPr>
          <w:ilvl w:val="0"/>
          <w:numId w:val="1"/>
        </w:numPr>
      </w:pPr>
      <w:r w:rsidRPr="008F349B">
        <w:rPr>
          <w:bCs/>
        </w:rPr>
        <w:t>Tato smlouva může být ukončena pouze písemnou dohodou smluvních stran k dohodnutému datu.</w:t>
      </w:r>
    </w:p>
    <w:p w14:paraId="1B84DC1F" w14:textId="77777777" w:rsidR="008F349B" w:rsidRPr="008F349B" w:rsidRDefault="008F349B" w:rsidP="00666A20">
      <w:pPr>
        <w:numPr>
          <w:ilvl w:val="0"/>
          <w:numId w:val="1"/>
        </w:numPr>
      </w:pPr>
      <w:r w:rsidRPr="008F349B">
        <w:t>Smluvní strany jsou oprávněny od této smlouvy odstoupit pouze v případě, že je to v této smlouvě či v jejích přílohách výslovně sjednáno nebo v případě, že druhá smluvní strana poruší tuto smlouvu podstatným způsobem.</w:t>
      </w:r>
    </w:p>
    <w:p w14:paraId="52FD40FD" w14:textId="77777777" w:rsidR="008F349B" w:rsidRPr="008F349B" w:rsidRDefault="008F349B" w:rsidP="008F349B">
      <w:pPr>
        <w:ind w:left="360"/>
      </w:pPr>
      <w:r w:rsidRPr="008F349B">
        <w:t>V této souvislosti smluvní strany sjednávají, že za podstatné porušení povinnosti je považováno jen:</w:t>
      </w:r>
    </w:p>
    <w:p w14:paraId="6AB15FBC" w14:textId="77777777" w:rsidR="008F349B" w:rsidRPr="000923D5" w:rsidRDefault="008F349B" w:rsidP="00666A20">
      <w:pPr>
        <w:numPr>
          <w:ilvl w:val="0"/>
          <w:numId w:val="10"/>
        </w:numPr>
      </w:pPr>
      <w:r w:rsidRPr="008F349B">
        <w:rPr>
          <w:bCs/>
        </w:rPr>
        <w:t>prodlení Odběratele se zaplacením ceny za dodanou tepelnou energii po dobu více než</w:t>
      </w:r>
      <w:bookmarkStart w:id="7" w:name="Text54"/>
      <w:r w:rsidRPr="008F349B">
        <w:rPr>
          <w:bCs/>
        </w:rPr>
        <w:t xml:space="preserve"> </w:t>
      </w:r>
      <w:bookmarkEnd w:id="7"/>
      <w:r w:rsidR="005D4896">
        <w:rPr>
          <w:bCs/>
        </w:rPr>
        <w:t>30 dnů</w:t>
      </w:r>
      <w:r w:rsidR="005D4896" w:rsidRPr="008F349B">
        <w:rPr>
          <w:bCs/>
        </w:rPr>
        <w:t xml:space="preserve">, </w:t>
      </w:r>
      <w:r w:rsidRPr="008F349B">
        <w:rPr>
          <w:bCs/>
        </w:rPr>
        <w:t>to však pouze v případě, že Odběratel po uplynutí této doby neuhradí cenu tepelné energie ani v dodatečně přiměřené lhůtě 10 dnů po prokazatelně doručené písemné výzvě Dodavatele;</w:t>
      </w:r>
    </w:p>
    <w:p w14:paraId="568BC6FB" w14:textId="0B4471B1" w:rsidR="00484C40" w:rsidRDefault="008F349B" w:rsidP="00666A20">
      <w:pPr>
        <w:numPr>
          <w:ilvl w:val="0"/>
          <w:numId w:val="1"/>
        </w:numPr>
      </w:pPr>
      <w:r w:rsidRPr="008F349B">
        <w:t xml:space="preserve">V souladu s ustanovením § </w:t>
      </w:r>
      <w:r w:rsidR="00D8650F">
        <w:t>1727 OZ</w:t>
      </w:r>
      <w:r w:rsidRPr="008F349B">
        <w:t xml:space="preserve"> je tato smlouva vzájemně závislá s</w:t>
      </w:r>
      <w:r w:rsidR="00DF4DEC">
        <w:t> Pachtovní s</w:t>
      </w:r>
      <w:r w:rsidRPr="008F349B">
        <w:t xml:space="preserve">mlouvou. Zánik jedné z těchto smluv jiným způsobem než splněním nebo způsobem nahrazujícím splnění způsobuje zánik ostatních </w:t>
      </w:r>
      <w:r w:rsidRPr="008F349B">
        <w:lastRenderedPageBreak/>
        <w:t xml:space="preserve">závislých smluv, a to s obdobnými právními účinky. Ukončení platnosti a účinnosti této smlouvy tedy automaticky vyvolá ukončení platnosti a účinnosti </w:t>
      </w:r>
      <w:r w:rsidR="00DF4DEC">
        <w:t>Pachtovní s</w:t>
      </w:r>
      <w:r w:rsidRPr="008F349B">
        <w:t>mlouvy a naopak.</w:t>
      </w:r>
    </w:p>
    <w:p w14:paraId="4B5D5DC1" w14:textId="77777777" w:rsidR="00E51916" w:rsidRDefault="00E51916" w:rsidP="00E51916">
      <w:pPr>
        <w:ind w:left="360"/>
      </w:pPr>
    </w:p>
    <w:p w14:paraId="57E29565" w14:textId="77777777" w:rsidR="00C40B53" w:rsidRDefault="00C40B53" w:rsidP="00666A20">
      <w:pPr>
        <w:pStyle w:val="Nadpis2"/>
        <w:numPr>
          <w:ilvl w:val="0"/>
          <w:numId w:val="3"/>
        </w:numPr>
        <w:spacing w:after="0"/>
      </w:pPr>
    </w:p>
    <w:p w14:paraId="2A8A2D31" w14:textId="77777777" w:rsidR="004A1A05" w:rsidRDefault="004A1A05" w:rsidP="004A1A05">
      <w:pPr>
        <w:pStyle w:val="Nadpis2"/>
        <w:spacing w:before="0"/>
        <w:ind w:left="1080"/>
      </w:pPr>
      <w:r>
        <w:t>Všeobecná obchodní ujednání</w:t>
      </w:r>
    </w:p>
    <w:p w14:paraId="11F4810D" w14:textId="77777777" w:rsidR="00BA5F05" w:rsidRPr="00611006" w:rsidRDefault="00BA5F05" w:rsidP="00BA5F05">
      <w:pPr>
        <w:numPr>
          <w:ilvl w:val="0"/>
          <w:numId w:val="14"/>
        </w:numPr>
        <w:ind w:left="567" w:right="-354" w:hanging="567"/>
        <w:rPr>
          <w:b/>
          <w:szCs w:val="20"/>
        </w:rPr>
      </w:pPr>
      <w:r w:rsidRPr="00611006">
        <w:rPr>
          <w:b/>
          <w:szCs w:val="20"/>
        </w:rPr>
        <w:t>VŠEOBECNÉ DODACÍ A TECHNICKÉ PODMÍNKY DODÁVKY</w:t>
      </w:r>
    </w:p>
    <w:p w14:paraId="6C0797CD" w14:textId="77777777" w:rsidR="00BA5F05" w:rsidRPr="009D630C" w:rsidRDefault="00BA5F05" w:rsidP="00BA5F05">
      <w:pPr>
        <w:numPr>
          <w:ilvl w:val="1"/>
          <w:numId w:val="14"/>
        </w:numPr>
        <w:tabs>
          <w:tab w:val="left" w:pos="-2160"/>
        </w:tabs>
        <w:ind w:right="-354"/>
        <w:rPr>
          <w:szCs w:val="20"/>
        </w:rPr>
      </w:pPr>
      <w:r w:rsidRPr="009D630C">
        <w:rPr>
          <w:szCs w:val="20"/>
        </w:rPr>
        <w:t>Za stav funkčnosti Odběrného zařízení (včetně zařízení případných podružných odběratelů) ovlivňující plnění a dodržování dodávkových norem odpovídá Odběratel, zejména odpovídá</w:t>
      </w:r>
      <w:r>
        <w:rPr>
          <w:szCs w:val="20"/>
        </w:rPr>
        <w:t xml:space="preserve"> </w:t>
      </w:r>
      <w:r w:rsidRPr="009D630C">
        <w:rPr>
          <w:szCs w:val="20"/>
        </w:rPr>
        <w:t>za požadované vlastnosti vody používané</w:t>
      </w:r>
      <w:r>
        <w:rPr>
          <w:szCs w:val="20"/>
        </w:rPr>
        <w:t xml:space="preserve"> </w:t>
      </w:r>
      <w:r w:rsidRPr="009D630C">
        <w:rPr>
          <w:szCs w:val="20"/>
        </w:rPr>
        <w:t xml:space="preserve">k napájení a provozu dle normy ČSN 07 7401 - Voda a pára pro tepelná energetická zařízení </w:t>
      </w:r>
      <w:r>
        <w:rPr>
          <w:szCs w:val="20"/>
        </w:rPr>
        <w:br/>
      </w:r>
      <w:r w:rsidRPr="009D630C">
        <w:rPr>
          <w:szCs w:val="20"/>
        </w:rPr>
        <w:t xml:space="preserve">s pracovním tlakem páry do 8 </w:t>
      </w:r>
      <w:proofErr w:type="spellStart"/>
      <w:r w:rsidRPr="009D630C">
        <w:rPr>
          <w:szCs w:val="20"/>
        </w:rPr>
        <w:t>MPa</w:t>
      </w:r>
      <w:proofErr w:type="spellEnd"/>
      <w:r w:rsidRPr="009D630C">
        <w:rPr>
          <w:szCs w:val="20"/>
        </w:rPr>
        <w:t xml:space="preserve">. Odběratel je povinen bezodkladně Dodavatele informovat </w:t>
      </w:r>
      <w:r>
        <w:rPr>
          <w:szCs w:val="20"/>
        </w:rPr>
        <w:br/>
      </w:r>
      <w:r w:rsidRPr="009D630C">
        <w:rPr>
          <w:szCs w:val="20"/>
        </w:rPr>
        <w:t xml:space="preserve">o prováděných pracích na svém zařízení, které mohou mít vliv na systém zásobování teplem </w:t>
      </w:r>
      <w:r>
        <w:rPr>
          <w:szCs w:val="20"/>
        </w:rPr>
        <w:br/>
      </w:r>
      <w:r w:rsidRPr="009D630C">
        <w:rPr>
          <w:szCs w:val="20"/>
        </w:rPr>
        <w:t>ze zdroje tepelné energie nebo jiného zařízení Dodavatele. Jakýkoliv zásah do Odběrného zařízení je možný pouze po předchozím písemném souhlasu Dodavatele mimo situace, kdy by mohlo dojít k bezprostřednímu ohrožení zdraví, života, nebo škodám na majetku.</w:t>
      </w:r>
      <w:r>
        <w:rPr>
          <w:szCs w:val="20"/>
        </w:rPr>
        <w:t xml:space="preserve"> </w:t>
      </w:r>
      <w:r w:rsidRPr="009D630C">
        <w:rPr>
          <w:szCs w:val="20"/>
        </w:rPr>
        <w:t>V takovém případě musí být Dodavatel neprodleně o zásahu informován.</w:t>
      </w:r>
    </w:p>
    <w:p w14:paraId="7A5789A2" w14:textId="77777777" w:rsidR="00BA5F05" w:rsidRPr="009D630C" w:rsidRDefault="00BA5F05" w:rsidP="00BA5F05">
      <w:pPr>
        <w:numPr>
          <w:ilvl w:val="1"/>
          <w:numId w:val="14"/>
        </w:numPr>
        <w:tabs>
          <w:tab w:val="left" w:pos="-2160"/>
        </w:tabs>
        <w:ind w:right="-354"/>
        <w:rPr>
          <w:szCs w:val="20"/>
        </w:rPr>
      </w:pPr>
      <w:r w:rsidRPr="009D630C">
        <w:rPr>
          <w:szCs w:val="20"/>
        </w:rPr>
        <w:t xml:space="preserve">Odběratel se zavazuje bez zbytečného odkladu ohlásit Dodavateli všechny závady na Odběrném zařízení (včetně zařízení případných podružných odběratelů), které mají vliv na provoz tepelných systémů Dodavatele a zajistit bez zbytečného odkladu jejich odstranění. </w:t>
      </w:r>
    </w:p>
    <w:p w14:paraId="0B47F6ED" w14:textId="77777777" w:rsidR="00BA5F05" w:rsidRPr="009D630C" w:rsidRDefault="00BA5F05" w:rsidP="00BA5F05">
      <w:pPr>
        <w:numPr>
          <w:ilvl w:val="1"/>
          <w:numId w:val="14"/>
        </w:numPr>
        <w:tabs>
          <w:tab w:val="left" w:pos="-2160"/>
        </w:tabs>
        <w:ind w:right="-354"/>
        <w:rPr>
          <w:szCs w:val="20"/>
        </w:rPr>
      </w:pPr>
      <w:r w:rsidRPr="009D630C">
        <w:rPr>
          <w:szCs w:val="20"/>
        </w:rPr>
        <w:t xml:space="preserve">Veškeré technické úpravy a změny na Odběrném zařízení, které mohou ovlivnit kvalitu a plynulost dodávky tepelné energie a sjednané hodnoty dodávky (množství, příkon) včetně těch, které mohou ovlivnit jiné odběratele, může Odběratel realizovat pouze po prokazatelných konzultacích s Dodavatelem stvrzenými oboustranně </w:t>
      </w:r>
      <w:r>
        <w:rPr>
          <w:szCs w:val="20"/>
        </w:rPr>
        <w:t>p</w:t>
      </w:r>
      <w:r w:rsidRPr="009D630C">
        <w:rPr>
          <w:szCs w:val="20"/>
        </w:rPr>
        <w:t>odepsaným zápisem.</w:t>
      </w:r>
    </w:p>
    <w:p w14:paraId="62D8AB4D" w14:textId="77777777" w:rsidR="00BA5F05" w:rsidRDefault="00BA5F05" w:rsidP="00BA5F05">
      <w:pPr>
        <w:numPr>
          <w:ilvl w:val="1"/>
          <w:numId w:val="14"/>
        </w:numPr>
        <w:tabs>
          <w:tab w:val="left" w:pos="-2160"/>
        </w:tabs>
        <w:ind w:right="-354"/>
        <w:rPr>
          <w:szCs w:val="20"/>
        </w:rPr>
      </w:pPr>
      <w:r w:rsidRPr="009D630C">
        <w:rPr>
          <w:szCs w:val="20"/>
        </w:rPr>
        <w:t>Dodavatel je povinen oznámit Odběrateli provádění plánovaných oprav, revizí a plánované běžné údržby, pokud budou mít za následek přerušení dodávky tepla, nebo pokud bude</w:t>
      </w:r>
      <w:r>
        <w:rPr>
          <w:szCs w:val="20"/>
        </w:rPr>
        <w:t xml:space="preserve"> </w:t>
      </w:r>
      <w:r w:rsidRPr="009D630C">
        <w:rPr>
          <w:szCs w:val="20"/>
        </w:rPr>
        <w:t>z jejich důvodu nutno vstoupit na nemovitosti Odběratele.</w:t>
      </w:r>
      <w:r w:rsidRPr="00611006">
        <w:rPr>
          <w:szCs w:val="20"/>
        </w:rPr>
        <w:t xml:space="preserve"> </w:t>
      </w:r>
      <w:r w:rsidR="00E51916">
        <w:rPr>
          <w:szCs w:val="20"/>
        </w:rPr>
        <w:t xml:space="preserve"> </w:t>
      </w:r>
    </w:p>
    <w:p w14:paraId="3BC07896" w14:textId="77777777" w:rsidR="00BA5F05" w:rsidRPr="00611006" w:rsidRDefault="00BA5F05" w:rsidP="00BA5F05">
      <w:pPr>
        <w:numPr>
          <w:ilvl w:val="0"/>
          <w:numId w:val="14"/>
        </w:numPr>
        <w:tabs>
          <w:tab w:val="left" w:pos="-2160"/>
        </w:tabs>
        <w:ind w:left="567" w:right="-354" w:hanging="567"/>
        <w:rPr>
          <w:szCs w:val="20"/>
        </w:rPr>
      </w:pPr>
      <w:r w:rsidRPr="00611006">
        <w:rPr>
          <w:b/>
          <w:szCs w:val="20"/>
        </w:rPr>
        <w:t>PLNĚNÍ SMLOUVY</w:t>
      </w:r>
    </w:p>
    <w:p w14:paraId="61DEDA46" w14:textId="77777777" w:rsidR="00BA5F05" w:rsidRPr="00A25D14" w:rsidRDefault="00BA5F05" w:rsidP="00BA5F05">
      <w:pPr>
        <w:numPr>
          <w:ilvl w:val="1"/>
          <w:numId w:val="14"/>
        </w:numPr>
        <w:tabs>
          <w:tab w:val="left" w:pos="540"/>
        </w:tabs>
        <w:ind w:right="-354"/>
        <w:rPr>
          <w:szCs w:val="20"/>
        </w:rPr>
      </w:pPr>
      <w:r w:rsidRPr="00A25D14">
        <w:rPr>
          <w:szCs w:val="20"/>
        </w:rPr>
        <w:t>Nedohodnou-li se strany jinak, bude Dodavatel dodávat Odběrateli teplo potřebné k zajištění teplot v Odběrných místech, v množství a parametrech daných obecně závaznými právními předpisy platnými v době dodávek (vyhláška</w:t>
      </w:r>
      <w:r>
        <w:rPr>
          <w:szCs w:val="20"/>
        </w:rPr>
        <w:t xml:space="preserve"> </w:t>
      </w:r>
      <w:r w:rsidRPr="00A25D14">
        <w:rPr>
          <w:szCs w:val="20"/>
        </w:rPr>
        <w:t>č. 194/2007 Sb., ve znění pozdějších změn a doplňků).</w:t>
      </w:r>
    </w:p>
    <w:p w14:paraId="6E83B136" w14:textId="77777777" w:rsidR="00BA5F05" w:rsidRPr="00A25D14" w:rsidRDefault="00BA5F05" w:rsidP="00BA5F05">
      <w:pPr>
        <w:numPr>
          <w:ilvl w:val="1"/>
          <w:numId w:val="14"/>
        </w:numPr>
        <w:tabs>
          <w:tab w:val="left" w:pos="540"/>
        </w:tabs>
        <w:ind w:right="-354"/>
        <w:rPr>
          <w:szCs w:val="20"/>
        </w:rPr>
      </w:pPr>
      <w:r w:rsidRPr="00A25D14">
        <w:rPr>
          <w:szCs w:val="20"/>
        </w:rPr>
        <w:t>Odběratel bude odebírat tepelnou energii</w:t>
      </w:r>
      <w:r>
        <w:rPr>
          <w:szCs w:val="20"/>
        </w:rPr>
        <w:t xml:space="preserve"> </w:t>
      </w:r>
      <w:r w:rsidRPr="00A25D14">
        <w:rPr>
          <w:szCs w:val="20"/>
        </w:rPr>
        <w:t>ze zdroje tepelné energie Dodavatele vždy přednostně před jinými zdroji tepelné energie. Pro vyloučení všech pochybností platí, že povinností Odběratele přednostně odebírat tepelnou energii ze zdroje tepelné energie Dodavatele se rozumí závazek Odběratele upřednostnit dodávky ze zdroje tepelné energie Dodavatele před dodávkami tepelné energie z jiného zdroje provozovaného třetí osobou nebo Odběratelem (dále jen „</w:t>
      </w:r>
      <w:r w:rsidRPr="00A25D14">
        <w:rPr>
          <w:b/>
          <w:szCs w:val="20"/>
        </w:rPr>
        <w:t>Jiné zdroje</w:t>
      </w:r>
      <w:r w:rsidRPr="00A25D14">
        <w:rPr>
          <w:szCs w:val="20"/>
        </w:rPr>
        <w:t>“). Odběratel je oprávněn odebírat tepelnou energii z Jiných zdrojů pouze v případě, že s tím Dodavatel bude písemně souhlasit a/nebo v případě, že Dodavatel písemně sdělí Odběrateli, že není schopen zajistit dodávky tepelné energie v požadovaném objemu</w:t>
      </w:r>
      <w:r>
        <w:rPr>
          <w:szCs w:val="20"/>
        </w:rPr>
        <w:t xml:space="preserve"> </w:t>
      </w:r>
      <w:r w:rsidRPr="00A25D14">
        <w:rPr>
          <w:szCs w:val="20"/>
        </w:rPr>
        <w:t>ze zdroje tepelné energie Dodavatele -</w:t>
      </w:r>
      <w:r>
        <w:rPr>
          <w:szCs w:val="20"/>
        </w:rPr>
        <w:t xml:space="preserve"> </w:t>
      </w:r>
      <w:r w:rsidRPr="00A25D14">
        <w:rPr>
          <w:szCs w:val="20"/>
        </w:rPr>
        <w:t>v takovémto případě je Odběratel oprávněn odebrat z Jiných zdrojů tepelnou energii v objemu odpovídajícím rozdílu mezi jeho požadavkem a množstvím tepelné energie, které deklaruje Dodavatel jako maximální množství tepelné energie, které je schopen dodat</w:t>
      </w:r>
      <w:r>
        <w:rPr>
          <w:szCs w:val="20"/>
        </w:rPr>
        <w:t xml:space="preserve"> </w:t>
      </w:r>
      <w:r w:rsidRPr="00A25D14">
        <w:rPr>
          <w:szCs w:val="20"/>
        </w:rPr>
        <w:t xml:space="preserve">ze zdroje tepelné energie Dodavatele. </w:t>
      </w:r>
      <w:r>
        <w:rPr>
          <w:szCs w:val="20"/>
        </w:rPr>
        <w:br/>
      </w:r>
      <w:r w:rsidRPr="00A25D14">
        <w:rPr>
          <w:szCs w:val="20"/>
        </w:rPr>
        <w:t>Pro případ porušení této povinnosti Odběratele odebírat tepelnou energii přednostně</w:t>
      </w:r>
      <w:r>
        <w:rPr>
          <w:szCs w:val="20"/>
        </w:rPr>
        <w:t xml:space="preserve"> </w:t>
      </w:r>
      <w:r w:rsidRPr="00A25D14">
        <w:rPr>
          <w:szCs w:val="20"/>
        </w:rPr>
        <w:t xml:space="preserve">od Dodavatele je Dodavatel oprávněn od </w:t>
      </w:r>
      <w:r>
        <w:rPr>
          <w:szCs w:val="20"/>
        </w:rPr>
        <w:t>smlouvy</w:t>
      </w:r>
      <w:r w:rsidRPr="00A25D14">
        <w:rPr>
          <w:szCs w:val="20"/>
        </w:rPr>
        <w:t xml:space="preserve"> odstoupit a zároveň požadovat po Odběrateli zaplacení smluvní pokuty ve výši </w:t>
      </w:r>
      <w:r w:rsidR="006500C2" w:rsidRPr="001B55BE">
        <w:rPr>
          <w:szCs w:val="20"/>
        </w:rPr>
        <w:t>3</w:t>
      </w:r>
      <w:r w:rsidR="009425F4" w:rsidRPr="001B55BE">
        <w:rPr>
          <w:szCs w:val="20"/>
        </w:rPr>
        <w:t>0</w:t>
      </w:r>
      <w:r w:rsidRPr="001B55BE">
        <w:rPr>
          <w:szCs w:val="20"/>
        </w:rPr>
        <w:t>.000,-Kč</w:t>
      </w:r>
      <w:r>
        <w:rPr>
          <w:szCs w:val="20"/>
        </w:rPr>
        <w:t xml:space="preserve">. </w:t>
      </w:r>
      <w:r w:rsidRPr="00A25D14">
        <w:rPr>
          <w:szCs w:val="20"/>
        </w:rPr>
        <w:t>Zaplacením této smluvní pokuty nejsou nikterak dotčeny nároky Dodavatele z titulu náhrady škody.</w:t>
      </w:r>
    </w:p>
    <w:p w14:paraId="4D32511D" w14:textId="77777777" w:rsidR="00BA5F05" w:rsidRPr="00A25D14" w:rsidRDefault="00BA5F05" w:rsidP="00BA5F05">
      <w:pPr>
        <w:numPr>
          <w:ilvl w:val="1"/>
          <w:numId w:val="14"/>
        </w:numPr>
        <w:tabs>
          <w:tab w:val="left" w:pos="540"/>
        </w:tabs>
        <w:ind w:right="-352"/>
        <w:rPr>
          <w:szCs w:val="20"/>
        </w:rPr>
      </w:pPr>
      <w:r w:rsidRPr="00A25D14">
        <w:rPr>
          <w:szCs w:val="20"/>
        </w:rPr>
        <w:t xml:space="preserve">Odběratel tedy bude dle </w:t>
      </w:r>
      <w:r>
        <w:rPr>
          <w:szCs w:val="20"/>
        </w:rPr>
        <w:t>smlouvy</w:t>
      </w:r>
      <w:r w:rsidRPr="00A25D14">
        <w:rPr>
          <w:szCs w:val="20"/>
        </w:rPr>
        <w:t xml:space="preserve"> odebírat tepelnou energii v rozsahu dle schopností Dodavatele dodávat tepelnou energii ze zdroje tepelné energie, přičemž předpokládaný časový průběh odběru tepelné energie je</w:t>
      </w:r>
      <w:r>
        <w:rPr>
          <w:szCs w:val="20"/>
        </w:rPr>
        <w:t xml:space="preserve"> </w:t>
      </w:r>
      <w:r w:rsidRPr="00A25D14">
        <w:rPr>
          <w:szCs w:val="20"/>
        </w:rPr>
        <w:t>uveden v</w:t>
      </w:r>
      <w:r>
        <w:rPr>
          <w:szCs w:val="20"/>
        </w:rPr>
        <w:t>e</w:t>
      </w:r>
      <w:r w:rsidRPr="00A25D14">
        <w:rPr>
          <w:szCs w:val="20"/>
        </w:rPr>
        <w:t> </w:t>
      </w:r>
      <w:r>
        <w:rPr>
          <w:szCs w:val="20"/>
        </w:rPr>
        <w:t>smlouvě</w:t>
      </w:r>
      <w:r w:rsidRPr="00A25D14">
        <w:rPr>
          <w:szCs w:val="20"/>
        </w:rPr>
        <w:t xml:space="preserve"> či jejich přílohách. Odběratel odebere</w:t>
      </w:r>
      <w:r>
        <w:rPr>
          <w:szCs w:val="20"/>
        </w:rPr>
        <w:t xml:space="preserve"> </w:t>
      </w:r>
      <w:r w:rsidRPr="00A25D14">
        <w:rPr>
          <w:szCs w:val="20"/>
        </w:rPr>
        <w:t>od Dodavatele tepelnou energii v rozsahu „Smluvního odběru tepelné energie“</w:t>
      </w:r>
      <w:r>
        <w:rPr>
          <w:szCs w:val="20"/>
        </w:rPr>
        <w:t xml:space="preserve"> </w:t>
      </w:r>
      <w:r w:rsidRPr="00A25D14">
        <w:rPr>
          <w:szCs w:val="20"/>
        </w:rPr>
        <w:t xml:space="preserve">dle odběrového diagramu, nebude-li smluvními stranami sjednáno jinak. </w:t>
      </w:r>
    </w:p>
    <w:p w14:paraId="1E5E9FFA" w14:textId="77777777" w:rsidR="00BA5F05" w:rsidRPr="00A25D14" w:rsidRDefault="00BA5F05" w:rsidP="00BA5F05">
      <w:pPr>
        <w:numPr>
          <w:ilvl w:val="1"/>
          <w:numId w:val="14"/>
        </w:numPr>
        <w:tabs>
          <w:tab w:val="left" w:pos="540"/>
        </w:tabs>
        <w:ind w:right="-352"/>
        <w:rPr>
          <w:szCs w:val="20"/>
        </w:rPr>
      </w:pPr>
      <w:r>
        <w:rPr>
          <w:szCs w:val="20"/>
        </w:rPr>
        <w:t xml:space="preserve">V případě, že ze strany Odběratele dojde k Úplnému zastavení odběru tepla, je Odběratel povinen uhradit Dodavateli finanční kompenzaci ve výši kalkulované takto: sjednaný roční smluvní odběr tepelné energie v GJ dle odběrového diagramu vynásobený průměrnou cenou tepelné energie v Kč/GJ za posledních 6 měsíců před Úplným zastavením odběru tepla. Splatnost této kompenzace je 31. 12. příslušného roku Úplného zastavení </w:t>
      </w:r>
      <w:r>
        <w:rPr>
          <w:szCs w:val="20"/>
        </w:rPr>
        <w:lastRenderedPageBreak/>
        <w:t xml:space="preserve">odběru tepla. Tím není dotčeno právo Dodavatele na náhradu škody. Dodavatel je oprávněn v případě Úplného zastavení odběru tepla od </w:t>
      </w:r>
      <w:r w:rsidR="002E5F07">
        <w:rPr>
          <w:szCs w:val="20"/>
        </w:rPr>
        <w:t>smlouvy</w:t>
      </w:r>
      <w:r>
        <w:rPr>
          <w:szCs w:val="20"/>
        </w:rPr>
        <w:t xml:space="preserve"> odstoupit.</w:t>
      </w:r>
      <w:r w:rsidRPr="00A25D14">
        <w:rPr>
          <w:szCs w:val="20"/>
        </w:rPr>
        <w:t xml:space="preserve"> </w:t>
      </w:r>
    </w:p>
    <w:p w14:paraId="2F2BF683" w14:textId="77777777" w:rsidR="00BA5F05" w:rsidRPr="00A25D14" w:rsidRDefault="00BA5F05" w:rsidP="00BA5F05">
      <w:pPr>
        <w:numPr>
          <w:ilvl w:val="1"/>
          <w:numId w:val="14"/>
        </w:numPr>
        <w:tabs>
          <w:tab w:val="left" w:pos="540"/>
        </w:tabs>
        <w:ind w:right="-352"/>
        <w:rPr>
          <w:szCs w:val="20"/>
        </w:rPr>
      </w:pPr>
      <w:r w:rsidRPr="00A25D14">
        <w:rPr>
          <w:szCs w:val="20"/>
        </w:rPr>
        <w:t>Dodávka je splněna předáním tepelné energie</w:t>
      </w:r>
      <w:r w:rsidR="002E5F07">
        <w:rPr>
          <w:szCs w:val="20"/>
        </w:rPr>
        <w:t xml:space="preserve"> </w:t>
      </w:r>
      <w:r w:rsidRPr="00A25D14">
        <w:rPr>
          <w:szCs w:val="20"/>
        </w:rPr>
        <w:t>v kvalitě stanovené závaznými předpisy</w:t>
      </w:r>
      <w:r w:rsidR="002E5F07">
        <w:rPr>
          <w:szCs w:val="20"/>
        </w:rPr>
        <w:t xml:space="preserve"> </w:t>
      </w:r>
      <w:r w:rsidRPr="00A25D14">
        <w:rPr>
          <w:szCs w:val="20"/>
        </w:rPr>
        <w:t>v odběrném místě. O dodávkách tepelné energie bude Dodavatel průběžně zaznamenávat měřené hodnoty. Záznam bude doručen Odběrateli spolu s příslušným vyúčtováním.</w:t>
      </w:r>
    </w:p>
    <w:p w14:paraId="449CDE60" w14:textId="77777777" w:rsidR="00BA5F05" w:rsidRPr="00A25D14" w:rsidRDefault="00BA5F05" w:rsidP="00BA5F05">
      <w:pPr>
        <w:numPr>
          <w:ilvl w:val="1"/>
          <w:numId w:val="14"/>
        </w:numPr>
        <w:tabs>
          <w:tab w:val="left" w:pos="540"/>
        </w:tabs>
        <w:ind w:right="-352"/>
        <w:rPr>
          <w:szCs w:val="20"/>
        </w:rPr>
      </w:pPr>
      <w:r w:rsidRPr="00A25D14">
        <w:rPr>
          <w:szCs w:val="20"/>
        </w:rPr>
        <w:t>Dodavatel je oprávněn provádět regulaci dodávky tepelné energie v návaznosti na celostátní regulaci v dodávce paliv a energií. Regulační opatření je Dodavatel oprávněn provádět podle odběrových stupňů a otopných křivek</w:t>
      </w:r>
      <w:r w:rsidR="002E5F07">
        <w:rPr>
          <w:szCs w:val="20"/>
        </w:rPr>
        <w:t xml:space="preserve"> </w:t>
      </w:r>
      <w:r w:rsidRPr="00A25D14">
        <w:rPr>
          <w:szCs w:val="20"/>
        </w:rPr>
        <w:t>vyhlášených dodavateli paliv a energií prostřednictvím sdělovacích prostředků,</w:t>
      </w:r>
      <w:r w:rsidR="002E5F07">
        <w:rPr>
          <w:szCs w:val="20"/>
        </w:rPr>
        <w:t xml:space="preserve"> </w:t>
      </w:r>
      <w:r w:rsidRPr="00A25D14">
        <w:rPr>
          <w:szCs w:val="20"/>
        </w:rPr>
        <w:t>v odůvodněných případech i jiným způsobem.</w:t>
      </w:r>
    </w:p>
    <w:p w14:paraId="510BDA19" w14:textId="77777777" w:rsidR="00BA5F05" w:rsidRDefault="00BA5F05" w:rsidP="00BA5F05">
      <w:pPr>
        <w:numPr>
          <w:ilvl w:val="1"/>
          <w:numId w:val="14"/>
        </w:numPr>
        <w:tabs>
          <w:tab w:val="left" w:pos="540"/>
        </w:tabs>
        <w:ind w:right="-352"/>
        <w:rPr>
          <w:szCs w:val="20"/>
        </w:rPr>
      </w:pPr>
      <w:r w:rsidRPr="00A25D14">
        <w:rPr>
          <w:szCs w:val="20"/>
        </w:rPr>
        <w:t xml:space="preserve">Dodavatel má právo přerušit nebo omezit dodávku tepelné energie </w:t>
      </w:r>
      <w:r>
        <w:rPr>
          <w:szCs w:val="20"/>
        </w:rPr>
        <w:t xml:space="preserve">(odstávka dodávek tepla) </w:t>
      </w:r>
      <w:r w:rsidRPr="00A25D14">
        <w:rPr>
          <w:szCs w:val="20"/>
        </w:rPr>
        <w:t>v nezbytném rozsahu a na nezbytně nutnou dobu v těchto případech:</w:t>
      </w:r>
    </w:p>
    <w:p w14:paraId="4EBAC706" w14:textId="77777777" w:rsidR="00BA5F05" w:rsidRDefault="00BA5F05" w:rsidP="00BA5F05">
      <w:pPr>
        <w:numPr>
          <w:ilvl w:val="2"/>
          <w:numId w:val="14"/>
        </w:numPr>
        <w:tabs>
          <w:tab w:val="clear" w:pos="1440"/>
        </w:tabs>
        <w:spacing w:after="60"/>
        <w:ind w:left="993" w:right="-352" w:hanging="426"/>
        <w:rPr>
          <w:szCs w:val="20"/>
        </w:rPr>
      </w:pPr>
      <w:r w:rsidRPr="00A25D14">
        <w:rPr>
          <w:szCs w:val="20"/>
        </w:rPr>
        <w:t>při bezprostředním ohrožení zdraví nebo majetku osob a při likvidaci těchto stavů,</w:t>
      </w:r>
    </w:p>
    <w:p w14:paraId="6E721821" w14:textId="77777777" w:rsidR="00BA5F05" w:rsidRDefault="00BA5F05" w:rsidP="00BA5F05">
      <w:pPr>
        <w:numPr>
          <w:ilvl w:val="2"/>
          <w:numId w:val="14"/>
        </w:numPr>
        <w:tabs>
          <w:tab w:val="clear" w:pos="1440"/>
        </w:tabs>
        <w:spacing w:after="60"/>
        <w:ind w:left="993" w:right="-352" w:hanging="426"/>
        <w:rPr>
          <w:szCs w:val="20"/>
        </w:rPr>
      </w:pPr>
      <w:r w:rsidRPr="00A25D14">
        <w:rPr>
          <w:szCs w:val="20"/>
        </w:rPr>
        <w:t>při stavech nouze nebo činnostech bezprostředně zamezujících jejich vzniku</w:t>
      </w:r>
      <w:r w:rsidR="002E5F07">
        <w:rPr>
          <w:szCs w:val="20"/>
        </w:rPr>
        <w:t xml:space="preserve"> </w:t>
      </w:r>
      <w:r w:rsidRPr="00A25D14">
        <w:rPr>
          <w:szCs w:val="20"/>
        </w:rPr>
        <w:t xml:space="preserve">(§ </w:t>
      </w:r>
      <w:r>
        <w:rPr>
          <w:szCs w:val="20"/>
        </w:rPr>
        <w:t xml:space="preserve">88 EZ), </w:t>
      </w:r>
    </w:p>
    <w:p w14:paraId="2A1499DC" w14:textId="2DCEFEF9" w:rsidR="00BA5F05" w:rsidRDefault="00BA5F05" w:rsidP="00BA5F05">
      <w:pPr>
        <w:numPr>
          <w:ilvl w:val="2"/>
          <w:numId w:val="14"/>
        </w:numPr>
        <w:tabs>
          <w:tab w:val="clear" w:pos="1440"/>
        </w:tabs>
        <w:spacing w:after="60"/>
        <w:ind w:left="993" w:right="-352" w:hanging="426"/>
        <w:rPr>
          <w:szCs w:val="20"/>
        </w:rPr>
      </w:pPr>
      <w:r w:rsidRPr="00A25D14">
        <w:rPr>
          <w:szCs w:val="20"/>
        </w:rPr>
        <w:t>při provádění plánovaných stavebních úprav, oprav, údržbových a revizních prací a při připojování nového odběrného místa, pokud jsou oznámeny nejméně 15 dní předem,</w:t>
      </w:r>
    </w:p>
    <w:p w14:paraId="735F47BD" w14:textId="77777777" w:rsidR="00BA5F05" w:rsidRDefault="00BA5F05" w:rsidP="00BA5F05">
      <w:pPr>
        <w:numPr>
          <w:ilvl w:val="2"/>
          <w:numId w:val="14"/>
        </w:numPr>
        <w:tabs>
          <w:tab w:val="clear" w:pos="1440"/>
        </w:tabs>
        <w:spacing w:after="60"/>
        <w:ind w:left="993" w:right="-352" w:hanging="426"/>
        <w:rPr>
          <w:szCs w:val="20"/>
        </w:rPr>
      </w:pPr>
      <w:r w:rsidRPr="00A25D14">
        <w:rPr>
          <w:szCs w:val="20"/>
        </w:rPr>
        <w:t>při provádění nezbytných provozních manipulací na dobu nejvýše 4 hodin,</w:t>
      </w:r>
    </w:p>
    <w:p w14:paraId="29500E0E" w14:textId="77777777" w:rsidR="00BA5F05" w:rsidRDefault="00BA5F05" w:rsidP="00BA5F05">
      <w:pPr>
        <w:numPr>
          <w:ilvl w:val="2"/>
          <w:numId w:val="14"/>
        </w:numPr>
        <w:tabs>
          <w:tab w:val="clear" w:pos="1440"/>
        </w:tabs>
        <w:spacing w:after="60"/>
        <w:ind w:left="993" w:right="-352" w:hanging="426"/>
        <w:rPr>
          <w:szCs w:val="20"/>
        </w:rPr>
      </w:pPr>
      <w:r w:rsidRPr="00A25D14">
        <w:rPr>
          <w:szCs w:val="20"/>
        </w:rPr>
        <w:t>při havarijním přerušení či omezení nezbytných provozních dodávek</w:t>
      </w:r>
      <w:r>
        <w:rPr>
          <w:szCs w:val="20"/>
        </w:rPr>
        <w:t xml:space="preserve"> </w:t>
      </w:r>
      <w:r w:rsidRPr="00A25D14">
        <w:rPr>
          <w:szCs w:val="20"/>
        </w:rPr>
        <w:t>teplonosné látky nebo paliv a energií poskytovaných jinými dodavateli,</w:t>
      </w:r>
    </w:p>
    <w:p w14:paraId="7F37F43E" w14:textId="36546AEA" w:rsidR="00BA5F05" w:rsidRPr="00382EBA" w:rsidRDefault="00BA5F05" w:rsidP="00382EBA">
      <w:pPr>
        <w:numPr>
          <w:ilvl w:val="2"/>
          <w:numId w:val="14"/>
        </w:numPr>
        <w:tabs>
          <w:tab w:val="clear" w:pos="1440"/>
        </w:tabs>
        <w:spacing w:after="60"/>
        <w:ind w:left="992" w:right="-352" w:hanging="425"/>
        <w:rPr>
          <w:szCs w:val="20"/>
        </w:rPr>
      </w:pPr>
      <w:r w:rsidRPr="00382EBA">
        <w:rPr>
          <w:szCs w:val="20"/>
        </w:rPr>
        <w:t>při vzniku a odstraňování havárií a poruch na zařízeních pro rozvod a výrobu tepelné energie na dobu nezbytně nutnou,</w:t>
      </w:r>
    </w:p>
    <w:p w14:paraId="20A1E177" w14:textId="77777777" w:rsidR="00BA5F05" w:rsidRDefault="00BA5F05" w:rsidP="00BA5F05">
      <w:pPr>
        <w:numPr>
          <w:ilvl w:val="2"/>
          <w:numId w:val="14"/>
        </w:numPr>
        <w:tabs>
          <w:tab w:val="clear" w:pos="1440"/>
        </w:tabs>
        <w:ind w:left="993" w:right="-352" w:hanging="426"/>
        <w:rPr>
          <w:szCs w:val="20"/>
        </w:rPr>
      </w:pPr>
      <w:r w:rsidRPr="00A25D14">
        <w:rPr>
          <w:szCs w:val="20"/>
        </w:rPr>
        <w:t>jestliže Odběratel používá zařízení, která ohrožují život, zdraví nebo majetek osob</w:t>
      </w:r>
      <w:r w:rsidR="007F40B1">
        <w:rPr>
          <w:szCs w:val="20"/>
        </w:rPr>
        <w:t xml:space="preserve"> nebo ovlivňují kvalitu dodávek </w:t>
      </w:r>
      <w:r w:rsidRPr="00A25D14">
        <w:rPr>
          <w:szCs w:val="20"/>
        </w:rPr>
        <w:t>v</w:t>
      </w:r>
      <w:r>
        <w:rPr>
          <w:szCs w:val="20"/>
        </w:rPr>
        <w:t xml:space="preserve"> </w:t>
      </w:r>
      <w:r w:rsidRPr="00A25D14">
        <w:rPr>
          <w:szCs w:val="20"/>
        </w:rPr>
        <w:t xml:space="preserve">neprospěch dalších odběratelů, nebo nedodržel požadované vlastnosti vody používané k napájení a provozu dle normy ČSN 07 7401 - Voda a pára pro tepelná energetická zařízení s pracovním tlakem páry do 8 </w:t>
      </w:r>
      <w:proofErr w:type="spellStart"/>
      <w:r w:rsidRPr="00A25D14">
        <w:rPr>
          <w:szCs w:val="20"/>
        </w:rPr>
        <w:t>MPa</w:t>
      </w:r>
      <w:proofErr w:type="spellEnd"/>
      <w:r w:rsidRPr="00A25D14">
        <w:rPr>
          <w:szCs w:val="20"/>
        </w:rPr>
        <w:t>,</w:t>
      </w:r>
    </w:p>
    <w:p w14:paraId="7D535E47" w14:textId="77777777" w:rsidR="00BA5F05" w:rsidRDefault="00BA5F05" w:rsidP="00BA5F05">
      <w:pPr>
        <w:numPr>
          <w:ilvl w:val="2"/>
          <w:numId w:val="14"/>
        </w:numPr>
        <w:tabs>
          <w:tab w:val="clear" w:pos="1440"/>
        </w:tabs>
        <w:ind w:left="993" w:right="-352" w:hanging="426"/>
        <w:rPr>
          <w:szCs w:val="20"/>
        </w:rPr>
      </w:pPr>
      <w:r>
        <w:rPr>
          <w:szCs w:val="20"/>
        </w:rPr>
        <w:t>při neoprávněném odběru</w:t>
      </w:r>
    </w:p>
    <w:p w14:paraId="0254D803" w14:textId="2A4A81F4" w:rsidR="00BA5F05" w:rsidRPr="007B747D" w:rsidRDefault="00BA5F05" w:rsidP="00BA5F05">
      <w:pPr>
        <w:numPr>
          <w:ilvl w:val="2"/>
          <w:numId w:val="14"/>
        </w:numPr>
        <w:tabs>
          <w:tab w:val="clear" w:pos="1440"/>
        </w:tabs>
        <w:ind w:left="993" w:right="-352" w:hanging="426"/>
        <w:rPr>
          <w:szCs w:val="20"/>
        </w:rPr>
      </w:pPr>
      <w:r w:rsidRPr="007B747D">
        <w:rPr>
          <w:szCs w:val="20"/>
        </w:rPr>
        <w:t>pokud je Odběratel v prodlení s plněním svých závazků, jejichž plnění je nezbytnou podmínkou pro výrobu a dodávku tepelné energie ze zdroje tepelné energie Dodavatele.</w:t>
      </w:r>
    </w:p>
    <w:p w14:paraId="0BEF9547" w14:textId="77777777" w:rsidR="00BA5F05" w:rsidRPr="00611006" w:rsidRDefault="00BA5F05" w:rsidP="00BA5F05">
      <w:pPr>
        <w:numPr>
          <w:ilvl w:val="0"/>
          <w:numId w:val="14"/>
        </w:numPr>
        <w:ind w:left="567" w:right="-354" w:hanging="567"/>
        <w:rPr>
          <w:szCs w:val="20"/>
        </w:rPr>
      </w:pPr>
      <w:r>
        <w:rPr>
          <w:b/>
          <w:szCs w:val="20"/>
        </w:rPr>
        <w:t>MĚŘENÍ</w:t>
      </w:r>
    </w:p>
    <w:p w14:paraId="013E8264" w14:textId="77777777" w:rsidR="00BA5F05" w:rsidRPr="000E19F3" w:rsidRDefault="00BA5F05" w:rsidP="00BA5F05">
      <w:pPr>
        <w:numPr>
          <w:ilvl w:val="1"/>
          <w:numId w:val="14"/>
        </w:numPr>
        <w:ind w:right="-354"/>
        <w:rPr>
          <w:szCs w:val="20"/>
        </w:rPr>
      </w:pPr>
      <w:r w:rsidRPr="001B2CA0">
        <w:rPr>
          <w:szCs w:val="20"/>
        </w:rPr>
        <w:t>Množství dodaného tepla bude účtováno podle množství zjištěného měřením v</w:t>
      </w:r>
      <w:r>
        <w:rPr>
          <w:szCs w:val="20"/>
        </w:rPr>
        <w:t> </w:t>
      </w:r>
      <w:r w:rsidRPr="001B2CA0">
        <w:rPr>
          <w:szCs w:val="20"/>
        </w:rPr>
        <w:t>odběrném</w:t>
      </w:r>
      <w:r>
        <w:rPr>
          <w:szCs w:val="20"/>
        </w:rPr>
        <w:t xml:space="preserve"> </w:t>
      </w:r>
      <w:r w:rsidRPr="001B2CA0">
        <w:rPr>
          <w:szCs w:val="20"/>
        </w:rPr>
        <w:t>místě. Měření dodané tepelné energie je prováděno stanoveným Měřidlem. Odečet naměřených hodnot tepelné energie provádí Dodavatel nebo osoby jím pověřené. V případě pochybnosti má Odběratel právo na provedení kontrolního odečtu, který bude proveden</w:t>
      </w:r>
      <w:r>
        <w:rPr>
          <w:szCs w:val="20"/>
        </w:rPr>
        <w:t xml:space="preserve"> </w:t>
      </w:r>
      <w:r w:rsidRPr="001B2CA0">
        <w:rPr>
          <w:szCs w:val="20"/>
        </w:rPr>
        <w:t>za přítomnosti oprávněného zaměstnance Dodavatele.</w:t>
      </w:r>
      <w:r w:rsidR="0009535F">
        <w:rPr>
          <w:szCs w:val="20"/>
        </w:rPr>
        <w:t xml:space="preserve"> </w:t>
      </w:r>
      <w:r w:rsidRPr="001B2CA0">
        <w:rPr>
          <w:szCs w:val="20"/>
        </w:rPr>
        <w:t>V případě, že Měřidlo nebude v</w:t>
      </w:r>
      <w:r w:rsidR="0009535F">
        <w:rPr>
          <w:szCs w:val="20"/>
        </w:rPr>
        <w:t> </w:t>
      </w:r>
      <w:r w:rsidRPr="001B2CA0">
        <w:rPr>
          <w:szCs w:val="20"/>
        </w:rPr>
        <w:t>provozu</w:t>
      </w:r>
      <w:r w:rsidR="0009535F">
        <w:rPr>
          <w:szCs w:val="20"/>
        </w:rPr>
        <w:t xml:space="preserve"> </w:t>
      </w:r>
      <w:r w:rsidRPr="000E19F3">
        <w:rPr>
          <w:szCs w:val="20"/>
        </w:rPr>
        <w:t xml:space="preserve">z důvodů jakékoliv poruchy, bude nezměřený odběr tepla účtován na základě spotřeby tepla vypočtené technickým výpočtem z průměrných denních dodávek před poruchou Měřidla </w:t>
      </w:r>
      <w:r>
        <w:rPr>
          <w:szCs w:val="20"/>
        </w:rPr>
        <w:br/>
      </w:r>
      <w:r w:rsidRPr="000E19F3">
        <w:rPr>
          <w:szCs w:val="20"/>
        </w:rPr>
        <w:t>v klimaticky stejném a řádně měřeném období.</w:t>
      </w:r>
    </w:p>
    <w:p w14:paraId="561CE646" w14:textId="77777777" w:rsidR="00BA5F05" w:rsidRPr="001B2CA0" w:rsidRDefault="00BA5F05" w:rsidP="00BA5F05">
      <w:pPr>
        <w:numPr>
          <w:ilvl w:val="1"/>
          <w:numId w:val="14"/>
        </w:numPr>
        <w:ind w:right="-354"/>
        <w:rPr>
          <w:szCs w:val="20"/>
        </w:rPr>
      </w:pPr>
      <w:r w:rsidRPr="001B2CA0">
        <w:rPr>
          <w:szCs w:val="20"/>
        </w:rPr>
        <w:t>Má-li Odběratel pochybnosti o správnosti údajů Dodavatelova Měřidla, může písemně požádat Dodavatele o</w:t>
      </w:r>
      <w:r w:rsidR="0009535F">
        <w:rPr>
          <w:szCs w:val="20"/>
        </w:rPr>
        <w:t xml:space="preserve"> </w:t>
      </w:r>
      <w:r w:rsidRPr="001B2CA0">
        <w:rPr>
          <w:szCs w:val="20"/>
        </w:rPr>
        <w:t>přezkoušení. Dodavatel je</w:t>
      </w:r>
      <w:r w:rsidR="0009535F">
        <w:rPr>
          <w:szCs w:val="20"/>
        </w:rPr>
        <w:t xml:space="preserve"> </w:t>
      </w:r>
      <w:r w:rsidRPr="001B2CA0">
        <w:rPr>
          <w:szCs w:val="20"/>
        </w:rPr>
        <w:t>v takovém případě povinen zajistit v zákonné lhůtě dle EZ přezkoušení Měřidla v</w:t>
      </w:r>
      <w:r>
        <w:rPr>
          <w:szCs w:val="20"/>
        </w:rPr>
        <w:t xml:space="preserve"> </w:t>
      </w:r>
      <w:r w:rsidRPr="001B2CA0">
        <w:rPr>
          <w:szCs w:val="20"/>
        </w:rPr>
        <w:t>autorizovaném metrologickém středisku.</w:t>
      </w:r>
    </w:p>
    <w:p w14:paraId="2DBADF9B" w14:textId="77777777" w:rsidR="00BA5F05" w:rsidRPr="001B2CA0" w:rsidRDefault="00BA5F05" w:rsidP="00BA5F05">
      <w:pPr>
        <w:numPr>
          <w:ilvl w:val="1"/>
          <w:numId w:val="14"/>
        </w:numPr>
        <w:ind w:right="-354"/>
        <w:rPr>
          <w:szCs w:val="20"/>
        </w:rPr>
      </w:pPr>
      <w:r w:rsidRPr="001B2CA0">
        <w:rPr>
          <w:szCs w:val="20"/>
        </w:rPr>
        <w:t>Zjistí-li se při přezkoušení, že údaje vykazované Měřidlem jsou v mezích přesnosti dle platné technické normy, uhradí Odběratel všechny náklady spojené s přezkoušením.</w:t>
      </w:r>
    </w:p>
    <w:p w14:paraId="752102FD" w14:textId="77777777" w:rsidR="00BA5F05" w:rsidRPr="001B2CA0" w:rsidRDefault="00BA5F05" w:rsidP="00BA5F05">
      <w:pPr>
        <w:numPr>
          <w:ilvl w:val="1"/>
          <w:numId w:val="14"/>
        </w:numPr>
        <w:ind w:right="-354"/>
        <w:rPr>
          <w:szCs w:val="20"/>
        </w:rPr>
      </w:pPr>
      <w:r w:rsidRPr="001B2CA0">
        <w:rPr>
          <w:szCs w:val="20"/>
        </w:rPr>
        <w:t>Pokud se přezkoušením Měřidla zjistí, že jím vykazované údaje se odchylují od normou stanovených hodnot, je Dodavatel povinen Měřidlo na svůj náklad vyměnit. V takovém případě bude Odběratel povinen uhradit cenu</w:t>
      </w:r>
      <w:r>
        <w:rPr>
          <w:szCs w:val="20"/>
        </w:rPr>
        <w:t xml:space="preserve"> </w:t>
      </w:r>
      <w:r>
        <w:rPr>
          <w:szCs w:val="20"/>
        </w:rPr>
        <w:br/>
      </w:r>
      <w:r w:rsidRPr="001B2CA0">
        <w:rPr>
          <w:szCs w:val="20"/>
        </w:rPr>
        <w:t>za množství odebraného tepla skutečně vykázaného závadným Měřidlem sníženou</w:t>
      </w:r>
      <w:r>
        <w:rPr>
          <w:szCs w:val="20"/>
        </w:rPr>
        <w:t xml:space="preserve"> </w:t>
      </w:r>
      <w:r w:rsidRPr="001B2CA0">
        <w:rPr>
          <w:szCs w:val="20"/>
        </w:rPr>
        <w:t>/</w:t>
      </w:r>
      <w:r>
        <w:rPr>
          <w:szCs w:val="20"/>
        </w:rPr>
        <w:t xml:space="preserve"> </w:t>
      </w:r>
      <w:r w:rsidRPr="001B2CA0">
        <w:rPr>
          <w:szCs w:val="20"/>
        </w:rPr>
        <w:t>zvýšenou o množství dle prokázané odchylky. Toto vyúčtování zjištěné odchylky lze uplatnit pouze v tom topném období, ve kterém bylo zjištěno.</w:t>
      </w:r>
    </w:p>
    <w:p w14:paraId="0E7CA145" w14:textId="77777777" w:rsidR="00BA5F05" w:rsidRPr="001B2CA0" w:rsidRDefault="00BA5F05" w:rsidP="00BA5F05">
      <w:pPr>
        <w:numPr>
          <w:ilvl w:val="1"/>
          <w:numId w:val="14"/>
        </w:numPr>
        <w:ind w:right="-354"/>
        <w:rPr>
          <w:szCs w:val="20"/>
        </w:rPr>
      </w:pPr>
      <w:r w:rsidRPr="001B2CA0">
        <w:rPr>
          <w:szCs w:val="20"/>
        </w:rPr>
        <w:t>Jakýkoliv zásah do Měřidla bez souhlasu jeho vlastníka se zakazuje. Zjistí-li Odběratel porušení Měřidla nebo jeho zajištění, je povinen to neprodleně oznámit Dodavateli.</w:t>
      </w:r>
    </w:p>
    <w:p w14:paraId="5E438332" w14:textId="77777777" w:rsidR="00BA5F05" w:rsidRPr="001B2CA0" w:rsidRDefault="00BA5F05" w:rsidP="00BA5F05">
      <w:pPr>
        <w:numPr>
          <w:ilvl w:val="1"/>
          <w:numId w:val="14"/>
        </w:numPr>
        <w:ind w:right="-354"/>
        <w:rPr>
          <w:szCs w:val="20"/>
        </w:rPr>
      </w:pPr>
      <w:r w:rsidRPr="001B2CA0">
        <w:rPr>
          <w:szCs w:val="20"/>
        </w:rPr>
        <w:t>Pro případ poškození a odcizení Měřidel a regulačních zařízení v majetku Dodavatele umístěných v objektu Odběratele smluvní strany sjednávají následující pokuty:</w:t>
      </w:r>
    </w:p>
    <w:p w14:paraId="5F0CF8AB" w14:textId="77777777" w:rsidR="00BA5F05" w:rsidRDefault="00BA5F05" w:rsidP="00BA5F05">
      <w:pPr>
        <w:numPr>
          <w:ilvl w:val="2"/>
          <w:numId w:val="14"/>
        </w:numPr>
        <w:tabs>
          <w:tab w:val="clear" w:pos="1440"/>
        </w:tabs>
        <w:spacing w:after="0"/>
        <w:ind w:left="993" w:right="-354" w:hanging="426"/>
        <w:rPr>
          <w:szCs w:val="20"/>
        </w:rPr>
      </w:pPr>
      <w:r w:rsidRPr="001B2CA0">
        <w:rPr>
          <w:szCs w:val="20"/>
        </w:rPr>
        <w:lastRenderedPageBreak/>
        <w:t xml:space="preserve">porušená zkušební značka </w:t>
      </w:r>
      <w:r w:rsidRPr="001B2CA0">
        <w:rPr>
          <w:szCs w:val="20"/>
        </w:rPr>
        <w:tab/>
      </w:r>
      <w:r>
        <w:rPr>
          <w:szCs w:val="20"/>
        </w:rPr>
        <w:t xml:space="preserve"> </w:t>
      </w:r>
      <w:r w:rsidRPr="001B2CA0">
        <w:rPr>
          <w:szCs w:val="20"/>
        </w:rPr>
        <w:t>4000 Kč</w:t>
      </w:r>
    </w:p>
    <w:p w14:paraId="0FAC9A5B" w14:textId="77777777" w:rsidR="00BA5F05" w:rsidRDefault="00BA5F05" w:rsidP="00BA5F05">
      <w:pPr>
        <w:numPr>
          <w:ilvl w:val="2"/>
          <w:numId w:val="14"/>
        </w:numPr>
        <w:tabs>
          <w:tab w:val="clear" w:pos="1440"/>
        </w:tabs>
        <w:spacing w:after="0"/>
        <w:ind w:left="993" w:right="-354" w:hanging="426"/>
        <w:rPr>
          <w:szCs w:val="20"/>
        </w:rPr>
      </w:pPr>
      <w:r w:rsidRPr="001B2CA0">
        <w:rPr>
          <w:szCs w:val="20"/>
        </w:rPr>
        <w:t>porušená montážní značka</w:t>
      </w:r>
      <w:r w:rsidRPr="001B2CA0">
        <w:rPr>
          <w:szCs w:val="20"/>
        </w:rPr>
        <w:tab/>
      </w:r>
      <w:r>
        <w:rPr>
          <w:szCs w:val="20"/>
        </w:rPr>
        <w:t xml:space="preserve"> </w:t>
      </w:r>
      <w:r w:rsidRPr="001B2CA0">
        <w:rPr>
          <w:szCs w:val="20"/>
        </w:rPr>
        <w:t>1400 Kč</w:t>
      </w:r>
    </w:p>
    <w:p w14:paraId="6BAA4D8D" w14:textId="4229FDCB" w:rsidR="00BA5F05" w:rsidRDefault="00BA5F05" w:rsidP="00BA5F05">
      <w:pPr>
        <w:numPr>
          <w:ilvl w:val="2"/>
          <w:numId w:val="14"/>
        </w:numPr>
        <w:tabs>
          <w:tab w:val="clear" w:pos="1440"/>
        </w:tabs>
        <w:spacing w:after="0"/>
        <w:ind w:left="993" w:right="-354" w:hanging="426"/>
        <w:rPr>
          <w:szCs w:val="20"/>
        </w:rPr>
      </w:pPr>
      <w:r w:rsidRPr="001B2CA0">
        <w:rPr>
          <w:szCs w:val="20"/>
        </w:rPr>
        <w:t xml:space="preserve">poškození Měřidla </w:t>
      </w:r>
      <w:r w:rsidRPr="001B2CA0">
        <w:rPr>
          <w:szCs w:val="20"/>
        </w:rPr>
        <w:tab/>
      </w:r>
      <w:r>
        <w:rPr>
          <w:szCs w:val="20"/>
        </w:rPr>
        <w:tab/>
        <w:t xml:space="preserve"> </w:t>
      </w:r>
      <w:r w:rsidRPr="001B2CA0">
        <w:rPr>
          <w:szCs w:val="20"/>
        </w:rPr>
        <w:t>5000 Kč</w:t>
      </w:r>
    </w:p>
    <w:p w14:paraId="7F6E18C6" w14:textId="77777777" w:rsidR="00BA5F05" w:rsidRPr="001B2CA0" w:rsidRDefault="00BA5F05" w:rsidP="00BA5F05">
      <w:pPr>
        <w:numPr>
          <w:ilvl w:val="2"/>
          <w:numId w:val="14"/>
        </w:numPr>
        <w:tabs>
          <w:tab w:val="clear" w:pos="1440"/>
        </w:tabs>
        <w:ind w:left="992" w:right="-352" w:hanging="425"/>
        <w:rPr>
          <w:szCs w:val="20"/>
        </w:rPr>
      </w:pPr>
      <w:r w:rsidRPr="001B2CA0">
        <w:rPr>
          <w:szCs w:val="20"/>
        </w:rPr>
        <w:t>odcizení Měřidla</w:t>
      </w:r>
      <w:r w:rsidRPr="001B2CA0">
        <w:rPr>
          <w:szCs w:val="20"/>
        </w:rPr>
        <w:tab/>
      </w:r>
      <w:r>
        <w:rPr>
          <w:szCs w:val="20"/>
        </w:rPr>
        <w:t xml:space="preserve">              </w:t>
      </w:r>
      <w:r w:rsidRPr="001B2CA0">
        <w:rPr>
          <w:szCs w:val="20"/>
        </w:rPr>
        <w:t>25000 Kč</w:t>
      </w:r>
    </w:p>
    <w:p w14:paraId="3DB95C31" w14:textId="77777777" w:rsidR="00BA5F05" w:rsidRPr="00611006" w:rsidRDefault="00BA5F05" w:rsidP="00BA5F05">
      <w:pPr>
        <w:ind w:left="567" w:right="-352"/>
        <w:rPr>
          <w:szCs w:val="20"/>
        </w:rPr>
      </w:pPr>
      <w:r w:rsidRPr="001B2CA0">
        <w:rPr>
          <w:szCs w:val="20"/>
        </w:rPr>
        <w:t>V případě bodu c. a d. je Odběratel povinen uhradit kromě výše uvedené smluvní pokuty i skutečné náklady na opravu, resp. instalaci nového Měřidla.</w:t>
      </w:r>
    </w:p>
    <w:p w14:paraId="0B128BCF" w14:textId="77777777" w:rsidR="00BA5F05" w:rsidRPr="00611006" w:rsidRDefault="00BA5F05" w:rsidP="00BA5F05">
      <w:pPr>
        <w:numPr>
          <w:ilvl w:val="0"/>
          <w:numId w:val="14"/>
        </w:numPr>
        <w:ind w:right="-354"/>
        <w:rPr>
          <w:szCs w:val="20"/>
        </w:rPr>
      </w:pPr>
      <w:r>
        <w:rPr>
          <w:b/>
          <w:szCs w:val="20"/>
        </w:rPr>
        <w:t>VEDENÍ/ZAŘÍZENÍ PRO ROZVOD TEPLA</w:t>
      </w:r>
      <w:r w:rsidRPr="00611006">
        <w:rPr>
          <w:b/>
          <w:szCs w:val="20"/>
        </w:rPr>
        <w:t xml:space="preserve"> </w:t>
      </w:r>
    </w:p>
    <w:p w14:paraId="618A4D07" w14:textId="77777777" w:rsidR="00BA5F05" w:rsidRPr="001B2CA0" w:rsidRDefault="00BA5F05" w:rsidP="00BA5F05">
      <w:pPr>
        <w:numPr>
          <w:ilvl w:val="1"/>
          <w:numId w:val="14"/>
        </w:numPr>
        <w:ind w:right="-354"/>
        <w:rPr>
          <w:szCs w:val="20"/>
        </w:rPr>
      </w:pPr>
      <w:r w:rsidRPr="001B2CA0">
        <w:rPr>
          <w:szCs w:val="20"/>
        </w:rPr>
        <w:t>Odběratel je povinen pro účely svého zásobování teplem umožnit na svých nemovitostech umístění a položení vedení (teplovodní přípojky), umístění ostatních rozdělovacích zařízení a dalšího příslušenství výtopny, jakož i provedení potřebného ochranného opatření na pozemcích patřících</w:t>
      </w:r>
      <w:r w:rsidR="0009535F">
        <w:rPr>
          <w:szCs w:val="20"/>
        </w:rPr>
        <w:t xml:space="preserve"> </w:t>
      </w:r>
      <w:r w:rsidRPr="001B2CA0">
        <w:rPr>
          <w:szCs w:val="20"/>
        </w:rPr>
        <w:t>k odběrnému místu.</w:t>
      </w:r>
    </w:p>
    <w:p w14:paraId="11B9F4AA" w14:textId="77777777" w:rsidR="00BA5F05" w:rsidRDefault="00BA5F05" w:rsidP="00BA5F05">
      <w:pPr>
        <w:numPr>
          <w:ilvl w:val="1"/>
          <w:numId w:val="14"/>
        </w:numPr>
        <w:ind w:right="-354"/>
        <w:rPr>
          <w:szCs w:val="20"/>
        </w:rPr>
      </w:pPr>
      <w:r w:rsidRPr="001B2CA0">
        <w:rPr>
          <w:szCs w:val="20"/>
        </w:rPr>
        <w:t>Odběratel je povinen sdělit písemně Dodavateli všechny změny a opatření, které mají nebo mohou mít účinky na odběrn</w:t>
      </w:r>
      <w:r>
        <w:rPr>
          <w:szCs w:val="20"/>
        </w:rPr>
        <w:t>á</w:t>
      </w:r>
      <w:r w:rsidRPr="001B2CA0">
        <w:rPr>
          <w:szCs w:val="20"/>
        </w:rPr>
        <w:t xml:space="preserve"> místa, připojená</w:t>
      </w:r>
      <w:r w:rsidR="0009535F">
        <w:rPr>
          <w:szCs w:val="20"/>
        </w:rPr>
        <w:t xml:space="preserve"> </w:t>
      </w:r>
      <w:r w:rsidRPr="001B2CA0">
        <w:rPr>
          <w:szCs w:val="20"/>
        </w:rPr>
        <w:t>k topné centrále, a to ještě před jejich schválením nebo provedením</w:t>
      </w:r>
      <w:r w:rsidRPr="00611006">
        <w:rPr>
          <w:szCs w:val="20"/>
        </w:rPr>
        <w:t>.</w:t>
      </w:r>
    </w:p>
    <w:p w14:paraId="64EBC3C4" w14:textId="77777777" w:rsidR="00BA5F05" w:rsidRPr="00611006" w:rsidRDefault="00BA5F05" w:rsidP="00BA5F05">
      <w:pPr>
        <w:numPr>
          <w:ilvl w:val="0"/>
          <w:numId w:val="14"/>
        </w:numPr>
        <w:ind w:left="567" w:right="-352" w:hanging="567"/>
        <w:rPr>
          <w:szCs w:val="20"/>
        </w:rPr>
      </w:pPr>
      <w:r w:rsidRPr="00611006">
        <w:rPr>
          <w:b/>
          <w:szCs w:val="20"/>
        </w:rPr>
        <w:t>PŘÍSTUP K ZAŘÍZENÍM</w:t>
      </w:r>
    </w:p>
    <w:p w14:paraId="43C2221A" w14:textId="77777777" w:rsidR="00BA5F05" w:rsidRDefault="00BA5F05" w:rsidP="00BA5F05">
      <w:pPr>
        <w:numPr>
          <w:ilvl w:val="1"/>
          <w:numId w:val="14"/>
        </w:numPr>
        <w:ind w:right="-352"/>
        <w:rPr>
          <w:szCs w:val="20"/>
        </w:rPr>
      </w:pPr>
      <w:r w:rsidRPr="001B2CA0">
        <w:rPr>
          <w:szCs w:val="20"/>
        </w:rPr>
        <w:t>Odběratel je povinen umožnit pověřeným pracovníkům Dodavatele podle jejich požadavků přístup k</w:t>
      </w:r>
      <w:r w:rsidR="0009535F">
        <w:rPr>
          <w:szCs w:val="20"/>
        </w:rPr>
        <w:t xml:space="preserve"> </w:t>
      </w:r>
      <w:r w:rsidRPr="001B2CA0">
        <w:rPr>
          <w:szCs w:val="20"/>
        </w:rPr>
        <w:t>technickým zařízením, k částem topné soustavy, které jsou ve vlastnictví Dodavatele, i</w:t>
      </w:r>
      <w:r w:rsidR="0009535F">
        <w:rPr>
          <w:szCs w:val="20"/>
        </w:rPr>
        <w:t xml:space="preserve"> </w:t>
      </w:r>
      <w:r w:rsidRPr="001B2CA0">
        <w:rPr>
          <w:szCs w:val="20"/>
        </w:rPr>
        <w:t>k Odběrnému zařízení za účelem provedení kontroly jeho technického stavu, k zahájení a provedení oprav, jakož i pro odečítání nebo zjišťování cenových vyměřovacích podkladů.</w:t>
      </w:r>
    </w:p>
    <w:p w14:paraId="09A30881" w14:textId="77777777" w:rsidR="00BA5F05" w:rsidRDefault="00BA5F05" w:rsidP="00BA5F05">
      <w:pPr>
        <w:numPr>
          <w:ilvl w:val="1"/>
          <w:numId w:val="14"/>
        </w:numPr>
        <w:ind w:right="-352"/>
        <w:rPr>
          <w:szCs w:val="20"/>
        </w:rPr>
      </w:pPr>
      <w:r w:rsidRPr="001B2CA0">
        <w:rPr>
          <w:szCs w:val="20"/>
        </w:rPr>
        <w:t xml:space="preserve">Pokud by podle posouzení Dodavatele bylo potřebné k zajištění jeho práv a povinností vstoupit do prostorů Odběratele, zavazuje se Odběratel tento přístup Dodavateli umožnit nebo zajistit. </w:t>
      </w:r>
    </w:p>
    <w:p w14:paraId="4E89F429" w14:textId="77777777" w:rsidR="00BA5F05" w:rsidRDefault="00BA5F05" w:rsidP="00BA5F05">
      <w:pPr>
        <w:numPr>
          <w:ilvl w:val="1"/>
          <w:numId w:val="14"/>
        </w:numPr>
        <w:ind w:right="-352"/>
        <w:rPr>
          <w:szCs w:val="20"/>
        </w:rPr>
      </w:pPr>
      <w:r w:rsidRPr="001B2CA0">
        <w:rPr>
          <w:szCs w:val="20"/>
        </w:rPr>
        <w:t>Neumožnění nebo odepření přístupu pověřeným pracovníkům Dodavatele k zařízením ze strany Odběratele v případech uvedených shora i přes předchozí oznámení Dodavatele anebo i bez předchozího oznámení v případě poruchy na tomto zařízení, je závažným porušením této smlouvy, a opravňuje Dodavatele k omezení nebo přerušení dodávky tepla, příp. i k odstoupení od této smlouvy. Veškeré náklady, které by takovým neoprávněným postupem Odběratele</w:t>
      </w:r>
      <w:r>
        <w:rPr>
          <w:szCs w:val="20"/>
        </w:rPr>
        <w:t xml:space="preserve"> </w:t>
      </w:r>
      <w:r w:rsidRPr="001B2CA0">
        <w:rPr>
          <w:szCs w:val="20"/>
        </w:rPr>
        <w:t>Dodavateli vznikly, včetně náhrady škody, ponese v plné výši Odběratel.</w:t>
      </w:r>
    </w:p>
    <w:p w14:paraId="35F669D9" w14:textId="77777777" w:rsidR="006213C4" w:rsidRPr="00164C5B" w:rsidRDefault="006213C4" w:rsidP="006213C4">
      <w:pPr>
        <w:numPr>
          <w:ilvl w:val="1"/>
          <w:numId w:val="14"/>
        </w:numPr>
        <w:ind w:right="-352"/>
        <w:rPr>
          <w:rFonts w:cs="Segoe UI"/>
          <w:szCs w:val="20"/>
        </w:rPr>
      </w:pPr>
      <w:r w:rsidRPr="00164C5B">
        <w:rPr>
          <w:rFonts w:cs="Segoe UI"/>
          <w:szCs w:val="20"/>
        </w:rPr>
        <w:t>Neoprávněným odběrem tepla je:</w:t>
      </w:r>
    </w:p>
    <w:p w14:paraId="49477D87" w14:textId="66B6CD5D" w:rsidR="006213C4" w:rsidRPr="00114D8A" w:rsidRDefault="006213C4" w:rsidP="006213C4">
      <w:pPr>
        <w:numPr>
          <w:ilvl w:val="2"/>
          <w:numId w:val="14"/>
        </w:numPr>
        <w:tabs>
          <w:tab w:val="clear" w:pos="1440"/>
        </w:tabs>
        <w:spacing w:after="60"/>
        <w:ind w:left="992" w:right="-352" w:hanging="425"/>
        <w:rPr>
          <w:rFonts w:cs="Segoe UI"/>
          <w:szCs w:val="18"/>
        </w:rPr>
      </w:pPr>
      <w:r w:rsidRPr="00114D8A">
        <w:rPr>
          <w:rFonts w:cs="Segoe UI"/>
          <w:szCs w:val="18"/>
        </w:rPr>
        <w:t>odběr tepelné energie bez právního důvodu nebo pokud právní důvod odpadl,</w:t>
      </w:r>
    </w:p>
    <w:p w14:paraId="56A779C3" w14:textId="77777777" w:rsidR="006213C4" w:rsidRPr="00114D8A" w:rsidRDefault="006213C4" w:rsidP="006213C4">
      <w:pPr>
        <w:numPr>
          <w:ilvl w:val="2"/>
          <w:numId w:val="14"/>
        </w:numPr>
        <w:tabs>
          <w:tab w:val="clear" w:pos="1440"/>
        </w:tabs>
        <w:spacing w:after="60"/>
        <w:ind w:left="992" w:right="-352" w:hanging="425"/>
        <w:rPr>
          <w:rFonts w:cs="Segoe UI"/>
          <w:szCs w:val="18"/>
        </w:rPr>
      </w:pPr>
      <w:r w:rsidRPr="00114D8A">
        <w:rPr>
          <w:rFonts w:cs="Segoe UI"/>
          <w:szCs w:val="18"/>
        </w:rPr>
        <w:t>odběr tepelné energie při opakovaném neplnění smluvených platebních povinností nebo platebních povinností vyplývajících z náhrady škody způsobené neoprávněným odběrem tepelné energie, které nejsou splněny ani po upozornění,</w:t>
      </w:r>
    </w:p>
    <w:p w14:paraId="71F6FFE2" w14:textId="77777777" w:rsidR="006213C4" w:rsidRPr="00114D8A" w:rsidRDefault="006213C4" w:rsidP="006213C4">
      <w:pPr>
        <w:numPr>
          <w:ilvl w:val="2"/>
          <w:numId w:val="14"/>
        </w:numPr>
        <w:tabs>
          <w:tab w:val="clear" w:pos="1440"/>
        </w:tabs>
        <w:spacing w:after="60"/>
        <w:ind w:left="992" w:right="-352" w:hanging="425"/>
        <w:rPr>
          <w:rFonts w:cs="Segoe UI"/>
          <w:szCs w:val="18"/>
        </w:rPr>
      </w:pPr>
      <w:r w:rsidRPr="00114D8A">
        <w:rPr>
          <w:rFonts w:cs="Segoe UI"/>
          <w:szCs w:val="18"/>
        </w:rPr>
        <w:t>připojení nebo odběr tepelné energie z té části odběrného tepelného zařízení nebo rozvodného tepelného zařízení, kterou prochází neměřená tepelná energie,</w:t>
      </w:r>
    </w:p>
    <w:p w14:paraId="2BC37D56" w14:textId="77777777" w:rsidR="006213C4" w:rsidRPr="00114D8A" w:rsidRDefault="006213C4" w:rsidP="006213C4">
      <w:pPr>
        <w:numPr>
          <w:ilvl w:val="2"/>
          <w:numId w:val="14"/>
        </w:numPr>
        <w:tabs>
          <w:tab w:val="clear" w:pos="1440"/>
        </w:tabs>
        <w:spacing w:after="60"/>
        <w:ind w:left="992" w:right="-352" w:hanging="425"/>
        <w:rPr>
          <w:rFonts w:cs="Segoe UI"/>
          <w:szCs w:val="18"/>
        </w:rPr>
      </w:pPr>
      <w:r w:rsidRPr="00114D8A">
        <w:rPr>
          <w:rFonts w:cs="Segoe UI"/>
          <w:szCs w:val="18"/>
        </w:rPr>
        <w:t>odběr tepelné energie měřený měřicím zařízením, které</w:t>
      </w:r>
    </w:p>
    <w:p w14:paraId="05AC0604" w14:textId="77777777" w:rsidR="006213C4" w:rsidRDefault="006213C4" w:rsidP="006213C4">
      <w:pPr>
        <w:pStyle w:val="Odstavecseseznamem"/>
        <w:numPr>
          <w:ilvl w:val="0"/>
          <w:numId w:val="27"/>
        </w:numPr>
        <w:spacing w:after="60"/>
        <w:ind w:right="-352"/>
        <w:jc w:val="both"/>
        <w:rPr>
          <w:rFonts w:ascii="Segoe UI" w:hAnsi="Segoe UI" w:cs="Segoe UI"/>
          <w:szCs w:val="18"/>
        </w:rPr>
      </w:pPr>
      <w:r w:rsidRPr="00114D8A">
        <w:rPr>
          <w:rFonts w:ascii="Segoe UI" w:hAnsi="Segoe UI" w:cs="Segoe UI"/>
          <w:szCs w:val="18"/>
        </w:rPr>
        <w:t>nezaznamenalo odběr tepelné energie nebo zaznamenalo odběr tepelné energie nesprávně ke škodě dodavatele tepelné energie v důsledku neoprávněného zásahu do tohoto měřicího zařízení nebo jeho součástí či příslušenství, nebo byly v měřicím zařízení provedeny takové zásahy, které údaje o skutečné spotřebě tepelné energie změnily,</w:t>
      </w:r>
    </w:p>
    <w:p w14:paraId="336F7CA7" w14:textId="77777777" w:rsidR="006213C4" w:rsidRDefault="006213C4" w:rsidP="006213C4">
      <w:pPr>
        <w:pStyle w:val="Odstavecseseznamem"/>
        <w:numPr>
          <w:ilvl w:val="0"/>
          <w:numId w:val="27"/>
        </w:numPr>
        <w:spacing w:after="60"/>
        <w:ind w:right="-352"/>
        <w:jc w:val="both"/>
        <w:rPr>
          <w:rFonts w:ascii="Segoe UI" w:hAnsi="Segoe UI" w:cs="Segoe UI"/>
          <w:szCs w:val="18"/>
        </w:rPr>
      </w:pPr>
      <w:r w:rsidRPr="00114D8A">
        <w:rPr>
          <w:rFonts w:ascii="Segoe UI" w:hAnsi="Segoe UI" w:cs="Segoe UI"/>
          <w:szCs w:val="18"/>
        </w:rPr>
        <w:t>nebylo osazeno dodavatelem tepelné energie, nebo jehož osazení jím nebylo schváleno,</w:t>
      </w:r>
    </w:p>
    <w:p w14:paraId="570DEB28" w14:textId="77777777" w:rsidR="006213C4" w:rsidRPr="00114D8A" w:rsidRDefault="006213C4" w:rsidP="006213C4">
      <w:pPr>
        <w:pStyle w:val="Odstavecseseznamem"/>
        <w:numPr>
          <w:ilvl w:val="0"/>
          <w:numId w:val="27"/>
        </w:numPr>
        <w:spacing w:after="60"/>
        <w:ind w:right="-352"/>
        <w:jc w:val="both"/>
        <w:rPr>
          <w:rFonts w:ascii="Segoe UI" w:hAnsi="Segoe UI" w:cs="Segoe UI"/>
          <w:szCs w:val="18"/>
        </w:rPr>
      </w:pPr>
      <w:r w:rsidRPr="00114D8A">
        <w:rPr>
          <w:rFonts w:ascii="Segoe UI" w:hAnsi="Segoe UI" w:cs="Segoe UI"/>
          <w:szCs w:val="18"/>
        </w:rPr>
        <w:t>vykazuje chyby měření ve prospěch odběratele tepelné energie a na kterém bylo buď porušeno zajištění proti neoprávněné manipulaci, nebo byl prokázán zásah do měřicího zařízení,</w:t>
      </w:r>
      <w:r w:rsidRPr="00114D8A" w:rsidDel="00114D8A">
        <w:rPr>
          <w:rFonts w:ascii="Segoe UI" w:hAnsi="Segoe UI" w:cs="Segoe UI"/>
          <w:szCs w:val="18"/>
        </w:rPr>
        <w:t xml:space="preserve"> </w:t>
      </w:r>
    </w:p>
    <w:p w14:paraId="4C034B3A" w14:textId="77777777" w:rsidR="006213C4" w:rsidRPr="00164C5B" w:rsidRDefault="006213C4" w:rsidP="006213C4">
      <w:pPr>
        <w:numPr>
          <w:ilvl w:val="2"/>
          <w:numId w:val="14"/>
        </w:numPr>
        <w:tabs>
          <w:tab w:val="clear" w:pos="1440"/>
        </w:tabs>
        <w:spacing w:after="60"/>
        <w:ind w:left="992" w:right="-352" w:hanging="425"/>
        <w:rPr>
          <w:rFonts w:cs="Segoe UI"/>
          <w:szCs w:val="20"/>
        </w:rPr>
      </w:pPr>
      <w:r w:rsidRPr="00114D8A">
        <w:rPr>
          <w:rFonts w:cs="Segoe UI"/>
          <w:szCs w:val="20"/>
        </w:rPr>
        <w:t>odběr tepelné energie v přímé souvislosti s neoprávněným zásahem na rozvodném tepelném zařízení,</w:t>
      </w:r>
    </w:p>
    <w:p w14:paraId="3569C6EA" w14:textId="77777777" w:rsidR="006213C4" w:rsidRPr="00164C5B" w:rsidRDefault="006213C4" w:rsidP="006213C4">
      <w:pPr>
        <w:numPr>
          <w:ilvl w:val="2"/>
          <w:numId w:val="14"/>
        </w:numPr>
        <w:tabs>
          <w:tab w:val="clear" w:pos="1440"/>
        </w:tabs>
        <w:ind w:left="992" w:right="-352" w:hanging="425"/>
        <w:rPr>
          <w:rFonts w:cs="Segoe UI"/>
          <w:szCs w:val="20"/>
        </w:rPr>
      </w:pPr>
      <w:r w:rsidRPr="00114D8A">
        <w:rPr>
          <w:rFonts w:cs="Segoe UI"/>
          <w:szCs w:val="20"/>
        </w:rPr>
        <w:t>odběr tepelné energie bez umožnění přístupu k měřicímu zařízení a neměřeným částem odběrného tepelného zařízení za účelem provedení kontroly, odečtu, údržby, výměny či odpojení měřicího zařízení, přestože byl odběratel tepelné energie k umožnění přístupu alespoň 15 dnů předem písemně vyzván.</w:t>
      </w:r>
    </w:p>
    <w:p w14:paraId="17811259" w14:textId="0DF158CE" w:rsidR="00BA5F05" w:rsidRDefault="00BA5F05" w:rsidP="00BA5F05">
      <w:pPr>
        <w:numPr>
          <w:ilvl w:val="0"/>
          <w:numId w:val="14"/>
        </w:numPr>
        <w:ind w:left="567" w:right="-354" w:hanging="567"/>
        <w:rPr>
          <w:b/>
          <w:szCs w:val="20"/>
        </w:rPr>
      </w:pPr>
      <w:r w:rsidRPr="007E59C9">
        <w:rPr>
          <w:b/>
          <w:szCs w:val="20"/>
        </w:rPr>
        <w:t>ODSTRAŇOVÁNÍ ZÁVAD</w:t>
      </w:r>
      <w:r>
        <w:rPr>
          <w:b/>
          <w:szCs w:val="20"/>
        </w:rPr>
        <w:t xml:space="preserve"> ZDROJE </w:t>
      </w:r>
      <w:r w:rsidR="00770D0B">
        <w:rPr>
          <w:b/>
          <w:szCs w:val="20"/>
        </w:rPr>
        <w:t>TEPELNÉ ENERGIE</w:t>
      </w:r>
    </w:p>
    <w:p w14:paraId="4DA98C04" w14:textId="48FF3DE3" w:rsidR="00BA5F05" w:rsidRDefault="00BA5F05" w:rsidP="00BA5F05">
      <w:pPr>
        <w:numPr>
          <w:ilvl w:val="1"/>
          <w:numId w:val="14"/>
        </w:numPr>
        <w:ind w:right="-352"/>
        <w:rPr>
          <w:szCs w:val="20"/>
        </w:rPr>
      </w:pPr>
      <w:r>
        <w:rPr>
          <w:szCs w:val="20"/>
        </w:rPr>
        <w:t xml:space="preserve">O vzniku závady </w:t>
      </w:r>
      <w:r w:rsidR="00770D0B">
        <w:rPr>
          <w:szCs w:val="20"/>
        </w:rPr>
        <w:t>zdroje tepelné energie</w:t>
      </w:r>
      <w:r>
        <w:rPr>
          <w:szCs w:val="20"/>
        </w:rPr>
        <w:t xml:space="preserve"> bude Odběratel/Dodavatel informován prostřednictvím říd</w:t>
      </w:r>
      <w:r w:rsidR="0009535F">
        <w:rPr>
          <w:szCs w:val="20"/>
        </w:rPr>
        <w:t>i</w:t>
      </w:r>
      <w:r>
        <w:rPr>
          <w:szCs w:val="20"/>
        </w:rPr>
        <w:t xml:space="preserve">cího systému </w:t>
      </w:r>
      <w:r w:rsidR="00770D0B">
        <w:rPr>
          <w:szCs w:val="20"/>
        </w:rPr>
        <w:t>z</w:t>
      </w:r>
      <w:r>
        <w:rPr>
          <w:szCs w:val="20"/>
        </w:rPr>
        <w:t xml:space="preserve">droje </w:t>
      </w:r>
      <w:r w:rsidR="00770D0B">
        <w:rPr>
          <w:szCs w:val="20"/>
        </w:rPr>
        <w:t xml:space="preserve">tepelné energie </w:t>
      </w:r>
      <w:r>
        <w:rPr>
          <w:szCs w:val="20"/>
        </w:rPr>
        <w:t>na dispečink Odběratele/Dodavatele.</w:t>
      </w:r>
    </w:p>
    <w:p w14:paraId="7C6D4B51" w14:textId="330ACD4A" w:rsidR="00BA5F05" w:rsidRDefault="00BA5F05" w:rsidP="00BA5F05">
      <w:pPr>
        <w:numPr>
          <w:ilvl w:val="1"/>
          <w:numId w:val="14"/>
        </w:numPr>
        <w:tabs>
          <w:tab w:val="left" w:pos="567"/>
        </w:tabs>
        <w:ind w:right="-352"/>
        <w:rPr>
          <w:szCs w:val="20"/>
        </w:rPr>
      </w:pPr>
      <w:r>
        <w:rPr>
          <w:szCs w:val="20"/>
        </w:rPr>
        <w:t xml:space="preserve">Prvotní zjištění příčiny závady </w:t>
      </w:r>
      <w:r w:rsidR="00770D0B">
        <w:rPr>
          <w:szCs w:val="20"/>
        </w:rPr>
        <w:t>z</w:t>
      </w:r>
      <w:r>
        <w:rPr>
          <w:szCs w:val="20"/>
        </w:rPr>
        <w:t xml:space="preserve">droje </w:t>
      </w:r>
      <w:r w:rsidR="00770D0B">
        <w:rPr>
          <w:szCs w:val="20"/>
        </w:rPr>
        <w:t xml:space="preserve">tepelné energie </w:t>
      </w:r>
      <w:r>
        <w:rPr>
          <w:szCs w:val="20"/>
        </w:rPr>
        <w:t xml:space="preserve">zajistí obsluha </w:t>
      </w:r>
      <w:r w:rsidR="00770D0B">
        <w:rPr>
          <w:szCs w:val="20"/>
        </w:rPr>
        <w:t>z</w:t>
      </w:r>
      <w:r>
        <w:rPr>
          <w:szCs w:val="20"/>
        </w:rPr>
        <w:t xml:space="preserve">droje </w:t>
      </w:r>
      <w:r w:rsidR="00770D0B">
        <w:rPr>
          <w:szCs w:val="20"/>
        </w:rPr>
        <w:t>tepelné energie</w:t>
      </w:r>
      <w:r>
        <w:rPr>
          <w:szCs w:val="20"/>
        </w:rPr>
        <w:t>, která neprodleně předá informaci o závadě určeným zaměstnancům Dodavatele/Odběratele.</w:t>
      </w:r>
    </w:p>
    <w:p w14:paraId="07EF68C7" w14:textId="6727332D" w:rsidR="00BA5F05" w:rsidRPr="00D40030" w:rsidRDefault="00BA5F05" w:rsidP="00BA5F05">
      <w:pPr>
        <w:numPr>
          <w:ilvl w:val="1"/>
          <w:numId w:val="14"/>
        </w:numPr>
        <w:tabs>
          <w:tab w:val="left" w:pos="567"/>
        </w:tabs>
        <w:ind w:right="-352"/>
        <w:rPr>
          <w:szCs w:val="20"/>
        </w:rPr>
      </w:pPr>
      <w:r>
        <w:rPr>
          <w:szCs w:val="20"/>
        </w:rPr>
        <w:lastRenderedPageBreak/>
        <w:t>Dodavatel neprodleně po prokazatelném obdržení informace o závadě podnikne úkony potřebné k odstranění závady, popřípadě zajistí odstranění poruchy servisní organizací</w:t>
      </w:r>
      <w:r w:rsidR="006E2ABE">
        <w:rPr>
          <w:szCs w:val="20"/>
        </w:rPr>
        <w:t xml:space="preserve"> </w:t>
      </w:r>
      <w:r w:rsidR="006E2ABE" w:rsidRPr="00D40030">
        <w:rPr>
          <w:szCs w:val="20"/>
        </w:rPr>
        <w:t>tak, aby nebyla ohrožena bezpečnost provozu a nebyla přerušena dodávka tepla na dobu delší než 4 hodiny v denní době od 5:00 do 22:00 (vyjma odstraňování nepředvídatelných havarijních stavů, které by bránily provozu zdroje tepla)</w:t>
      </w:r>
    </w:p>
    <w:p w14:paraId="069341A2" w14:textId="77777777" w:rsidR="00BA5F05" w:rsidRDefault="00BA5F05" w:rsidP="00BA5F05">
      <w:pPr>
        <w:numPr>
          <w:ilvl w:val="1"/>
          <w:numId w:val="14"/>
        </w:numPr>
        <w:tabs>
          <w:tab w:val="left" w:pos="567"/>
        </w:tabs>
        <w:ind w:right="-352"/>
        <w:rPr>
          <w:szCs w:val="20"/>
        </w:rPr>
      </w:pPr>
      <w:r>
        <w:rPr>
          <w:szCs w:val="20"/>
        </w:rPr>
        <w:t>Dodavatel zajistí nejpozději do 24 hod od prokazatelného obdržení informace o závadě zahájení prací vedoucí k jejímu odstranění.</w:t>
      </w:r>
    </w:p>
    <w:p w14:paraId="5A49A530" w14:textId="7F23BD53" w:rsidR="00BA5F05" w:rsidRDefault="00BA5F05" w:rsidP="00BA5F05">
      <w:pPr>
        <w:numPr>
          <w:ilvl w:val="1"/>
          <w:numId w:val="14"/>
        </w:numPr>
        <w:tabs>
          <w:tab w:val="left" w:pos="567"/>
        </w:tabs>
        <w:ind w:right="-352"/>
        <w:rPr>
          <w:szCs w:val="20"/>
        </w:rPr>
      </w:pPr>
      <w:r>
        <w:rPr>
          <w:szCs w:val="20"/>
        </w:rPr>
        <w:t xml:space="preserve">Dodavatel zajistí odstranění závad </w:t>
      </w:r>
      <w:r w:rsidR="00C145F7">
        <w:rPr>
          <w:szCs w:val="20"/>
        </w:rPr>
        <w:t>z</w:t>
      </w:r>
      <w:r>
        <w:rPr>
          <w:szCs w:val="20"/>
        </w:rPr>
        <w:t xml:space="preserve">droje </w:t>
      </w:r>
      <w:r w:rsidR="00C145F7">
        <w:rPr>
          <w:szCs w:val="20"/>
        </w:rPr>
        <w:t>tepelné energie</w:t>
      </w:r>
      <w:r>
        <w:rPr>
          <w:szCs w:val="20"/>
        </w:rPr>
        <w:t xml:space="preserve"> na své náklady a v následujících lhůtách</w:t>
      </w:r>
    </w:p>
    <w:p w14:paraId="56530B43" w14:textId="77777777" w:rsidR="00BA5F05" w:rsidRDefault="00BA5F05" w:rsidP="00BA5F05">
      <w:pPr>
        <w:numPr>
          <w:ilvl w:val="0"/>
          <w:numId w:val="8"/>
        </w:numPr>
        <w:tabs>
          <w:tab w:val="left" w:pos="567"/>
        </w:tabs>
        <w:ind w:left="709" w:right="-352" w:hanging="142"/>
        <w:rPr>
          <w:szCs w:val="20"/>
        </w:rPr>
      </w:pPr>
      <w:r>
        <w:rPr>
          <w:szCs w:val="20"/>
        </w:rPr>
        <w:t>Odstranění drobných závad (bez výměny dílů nebo výměna drobných dílů bez nutnosti demontáže větších celků – např. svíčky, čidla, opravy drobných netěsností apod.) bude provedeno nejpozději do 24 hodin od prokazatelného oznámení</w:t>
      </w:r>
    </w:p>
    <w:p w14:paraId="4AE3E799" w14:textId="31C5810E" w:rsidR="00BA5F05" w:rsidRDefault="00BA5F05" w:rsidP="00BA5F05">
      <w:pPr>
        <w:numPr>
          <w:ilvl w:val="0"/>
          <w:numId w:val="8"/>
        </w:numPr>
        <w:tabs>
          <w:tab w:val="left" w:pos="567"/>
        </w:tabs>
        <w:ind w:left="709" w:right="-352" w:hanging="142"/>
        <w:rPr>
          <w:szCs w:val="20"/>
        </w:rPr>
      </w:pPr>
      <w:r>
        <w:rPr>
          <w:szCs w:val="20"/>
        </w:rPr>
        <w:t xml:space="preserve">Odstranění středních závad (výměna dílů bez nutnosti demontáže větších celků, jako např. výměna hlavy, čerpadla, </w:t>
      </w:r>
      <w:proofErr w:type="gramStart"/>
      <w:r>
        <w:rPr>
          <w:szCs w:val="20"/>
        </w:rPr>
        <w:t>turbodmychadla,</w:t>
      </w:r>
      <w:proofErr w:type="gramEnd"/>
      <w:r>
        <w:rPr>
          <w:szCs w:val="20"/>
        </w:rPr>
        <w:t xml:space="preserve"> apod.) bude provedeno nejpozději do 3 dnů od prokazatelného oznámení</w:t>
      </w:r>
    </w:p>
    <w:p w14:paraId="2438C5C1" w14:textId="77777777" w:rsidR="00BA5F05" w:rsidRDefault="00BA5F05" w:rsidP="00BA5F05">
      <w:pPr>
        <w:numPr>
          <w:ilvl w:val="0"/>
          <w:numId w:val="8"/>
        </w:numPr>
        <w:tabs>
          <w:tab w:val="left" w:pos="567"/>
        </w:tabs>
        <w:ind w:left="709" w:right="-352" w:hanging="142"/>
        <w:rPr>
          <w:szCs w:val="20"/>
        </w:rPr>
      </w:pPr>
      <w:r>
        <w:rPr>
          <w:szCs w:val="20"/>
        </w:rPr>
        <w:t>Odstranění havárií nebo vážnějších závad (např. výměna vnitřních dílů motoru, generátoru s nutností demontáže větších celků, výměna výměníků apod.) bude provedeno nejpozději do 21 dnů od oznámení.</w:t>
      </w:r>
    </w:p>
    <w:p w14:paraId="3107498B" w14:textId="737C3F33" w:rsidR="00BA5F05" w:rsidRDefault="00BA5F05" w:rsidP="00BA5F05">
      <w:pPr>
        <w:tabs>
          <w:tab w:val="left" w:pos="567"/>
        </w:tabs>
        <w:ind w:left="567" w:right="-352"/>
      </w:pPr>
      <w:r>
        <w:rPr>
          <w:szCs w:val="20"/>
        </w:rPr>
        <w:t xml:space="preserve">Všechny výše uvedené termíny odstranění závad se prodlužují v případě, kdy je z důvodu vyšší moci znemožněn přístup (zejména dopravními prostředky) ke </w:t>
      </w:r>
      <w:r w:rsidR="00C145F7">
        <w:rPr>
          <w:szCs w:val="20"/>
        </w:rPr>
        <w:t>z</w:t>
      </w:r>
      <w:r>
        <w:rPr>
          <w:szCs w:val="20"/>
        </w:rPr>
        <w:t xml:space="preserve">droji </w:t>
      </w:r>
      <w:r w:rsidR="00C145F7">
        <w:rPr>
          <w:szCs w:val="20"/>
        </w:rPr>
        <w:t>tepelné energie</w:t>
      </w:r>
      <w:r>
        <w:rPr>
          <w:szCs w:val="20"/>
        </w:rPr>
        <w:t xml:space="preserve"> do doby zániku působení vyšší moci. </w:t>
      </w:r>
      <w:r>
        <w:t>Veškerý servis a opravy jsou zahrnuty v ceně tepla (tj. ve smluvní ceně za 1GJ dodané tepelné energie).</w:t>
      </w:r>
    </w:p>
    <w:p w14:paraId="4899EC06" w14:textId="77777777" w:rsidR="00BA5F05" w:rsidRPr="00611006" w:rsidRDefault="00BA5F05" w:rsidP="00BA5F05">
      <w:pPr>
        <w:numPr>
          <w:ilvl w:val="0"/>
          <w:numId w:val="14"/>
        </w:numPr>
        <w:ind w:left="567" w:right="-354" w:hanging="567"/>
        <w:rPr>
          <w:szCs w:val="20"/>
        </w:rPr>
      </w:pPr>
      <w:r w:rsidRPr="00611006">
        <w:rPr>
          <w:b/>
          <w:szCs w:val="20"/>
        </w:rPr>
        <w:t>DORUČOVÁNÍ PÍSEMNOSTÍ</w:t>
      </w:r>
    </w:p>
    <w:p w14:paraId="54007A38" w14:textId="77777777" w:rsidR="00BA5F05" w:rsidRDefault="00BA5F05" w:rsidP="00BA5F05">
      <w:pPr>
        <w:numPr>
          <w:ilvl w:val="1"/>
          <w:numId w:val="14"/>
        </w:numPr>
        <w:ind w:right="-352"/>
        <w:rPr>
          <w:szCs w:val="20"/>
        </w:rPr>
      </w:pPr>
      <w:r w:rsidRPr="00432BC4">
        <w:rPr>
          <w:szCs w:val="20"/>
        </w:rPr>
        <w:t>Písemnosti mohou</w:t>
      </w:r>
      <w:r>
        <w:rPr>
          <w:szCs w:val="20"/>
        </w:rPr>
        <w:t xml:space="preserve"> být doručovány</w:t>
      </w:r>
      <w:r w:rsidRPr="00432BC4">
        <w:rPr>
          <w:szCs w:val="20"/>
        </w:rPr>
        <w:t xml:space="preserve"> jak v listinné, tak v elektronické podobě. Pokud se strany nedohodnou jinak, může být používána rovnocenně jak listinná, tak elektronická forma, přičemž obě dvě formy mají stejnou důkazní hodnotu.</w:t>
      </w:r>
    </w:p>
    <w:p w14:paraId="315DA098" w14:textId="77777777" w:rsidR="00BA5F05" w:rsidRDefault="00BA5F05" w:rsidP="00BA5F05">
      <w:pPr>
        <w:numPr>
          <w:ilvl w:val="1"/>
          <w:numId w:val="14"/>
        </w:numPr>
        <w:ind w:right="-354"/>
        <w:rPr>
          <w:szCs w:val="20"/>
        </w:rPr>
      </w:pPr>
      <w:r w:rsidRPr="00432BC4">
        <w:rPr>
          <w:szCs w:val="20"/>
        </w:rPr>
        <w:t>Písemnosti v listinné podobě se doručují</w:t>
      </w:r>
      <w:r w:rsidR="0009535F">
        <w:rPr>
          <w:szCs w:val="20"/>
        </w:rPr>
        <w:t xml:space="preserve"> </w:t>
      </w:r>
      <w:r w:rsidRPr="00432BC4">
        <w:rPr>
          <w:szCs w:val="20"/>
        </w:rPr>
        <w:t xml:space="preserve">na adresu sídla </w:t>
      </w:r>
      <w:r>
        <w:rPr>
          <w:szCs w:val="20"/>
        </w:rPr>
        <w:t>O</w:t>
      </w:r>
      <w:r w:rsidRPr="00432BC4">
        <w:rPr>
          <w:szCs w:val="20"/>
        </w:rPr>
        <w:t xml:space="preserve">dběratele a sídla </w:t>
      </w:r>
      <w:r>
        <w:rPr>
          <w:szCs w:val="20"/>
        </w:rPr>
        <w:t>D</w:t>
      </w:r>
      <w:r w:rsidRPr="00432BC4">
        <w:rPr>
          <w:szCs w:val="20"/>
        </w:rPr>
        <w:t>odavatele, pokud se obě strany nedohodnou jinak, a to prostřednictvím držitele poštovní licence (poštou), kurýrem, osobně nebo jiným</w:t>
      </w:r>
      <w:r w:rsidR="0009535F">
        <w:rPr>
          <w:szCs w:val="20"/>
        </w:rPr>
        <w:t xml:space="preserve"> </w:t>
      </w:r>
      <w:r w:rsidRPr="00432BC4">
        <w:rPr>
          <w:szCs w:val="20"/>
        </w:rPr>
        <w:t>prokazatelným způsobem.</w:t>
      </w:r>
    </w:p>
    <w:p w14:paraId="6FE6B06C" w14:textId="77777777" w:rsidR="00BA5F05" w:rsidRDefault="00BA5F05" w:rsidP="00BA5F05">
      <w:pPr>
        <w:numPr>
          <w:ilvl w:val="1"/>
          <w:numId w:val="14"/>
        </w:numPr>
        <w:ind w:right="-354"/>
        <w:rPr>
          <w:szCs w:val="20"/>
        </w:rPr>
      </w:pPr>
      <w:r w:rsidRPr="00432BC4">
        <w:rPr>
          <w:szCs w:val="20"/>
        </w:rPr>
        <w:t xml:space="preserve">Veškerá sdělení týkající se </w:t>
      </w:r>
      <w:r w:rsidR="0009535F">
        <w:rPr>
          <w:szCs w:val="20"/>
        </w:rPr>
        <w:t>smlouvy</w:t>
      </w:r>
      <w:r w:rsidRPr="00432BC4">
        <w:rPr>
          <w:szCs w:val="20"/>
        </w:rPr>
        <w:t xml:space="preserve">, případně vztahů z této smlouvy vyplývajících se považují </w:t>
      </w:r>
      <w:r>
        <w:rPr>
          <w:szCs w:val="20"/>
        </w:rPr>
        <w:br/>
      </w:r>
      <w:r w:rsidRPr="00432BC4">
        <w:rPr>
          <w:szCs w:val="20"/>
        </w:rPr>
        <w:t>za doručená</w:t>
      </w:r>
      <w:r>
        <w:rPr>
          <w:szCs w:val="20"/>
        </w:rPr>
        <w:t xml:space="preserve"> i tehdy</w:t>
      </w:r>
      <w:r w:rsidRPr="00432BC4">
        <w:rPr>
          <w:szCs w:val="20"/>
        </w:rPr>
        <w:t xml:space="preserve">, pokud byla zaslána formou doporučené poštovní zásilky na adresu druhé smluvní strany uvedenou v úvodní části </w:t>
      </w:r>
      <w:r w:rsidR="0009535F">
        <w:rPr>
          <w:szCs w:val="20"/>
        </w:rPr>
        <w:t>smlouvy</w:t>
      </w:r>
      <w:r w:rsidRPr="00432BC4">
        <w:rPr>
          <w:szCs w:val="20"/>
        </w:rPr>
        <w:t xml:space="preserve"> (identifikaci smluvních stran).</w:t>
      </w:r>
    </w:p>
    <w:p w14:paraId="000B0AD6" w14:textId="77777777" w:rsidR="00BA5F05" w:rsidRDefault="00BA5F05" w:rsidP="00BA5F05">
      <w:pPr>
        <w:numPr>
          <w:ilvl w:val="1"/>
          <w:numId w:val="14"/>
        </w:numPr>
        <w:ind w:right="-354"/>
        <w:rPr>
          <w:szCs w:val="20"/>
        </w:rPr>
      </w:pPr>
      <w:r w:rsidRPr="00432BC4">
        <w:rPr>
          <w:szCs w:val="20"/>
        </w:rPr>
        <w:t>Na základě dohody smluvních stran nastávají účinky řádného doručení desátý (10.) den</w:t>
      </w:r>
      <w:r>
        <w:rPr>
          <w:szCs w:val="20"/>
        </w:rPr>
        <w:t xml:space="preserve"> </w:t>
      </w:r>
      <w:r w:rsidRPr="00432BC4">
        <w:rPr>
          <w:szCs w:val="20"/>
        </w:rPr>
        <w:t>po dni, kdy byla doporučená poštovní zásilka</w:t>
      </w:r>
      <w:r>
        <w:rPr>
          <w:szCs w:val="20"/>
        </w:rPr>
        <w:t>,</w:t>
      </w:r>
      <w:r w:rsidRPr="00432BC4">
        <w:rPr>
          <w:szCs w:val="20"/>
        </w:rPr>
        <w:t xml:space="preserve"> odeslaná</w:t>
      </w:r>
      <w:r>
        <w:rPr>
          <w:szCs w:val="20"/>
        </w:rPr>
        <w:t xml:space="preserve"> </w:t>
      </w:r>
      <w:r w:rsidRPr="00432BC4">
        <w:rPr>
          <w:szCs w:val="20"/>
        </w:rPr>
        <w:t>na adresu druhé smluvní strany</w:t>
      </w:r>
      <w:r>
        <w:rPr>
          <w:szCs w:val="20"/>
        </w:rPr>
        <w:t xml:space="preserve"> (dle odst. </w:t>
      </w:r>
      <w:r w:rsidR="0009535F">
        <w:rPr>
          <w:szCs w:val="20"/>
        </w:rPr>
        <w:t>7</w:t>
      </w:r>
      <w:r>
        <w:rPr>
          <w:szCs w:val="20"/>
        </w:rPr>
        <w:t xml:space="preserve">.2., popř. </w:t>
      </w:r>
      <w:r w:rsidR="0009535F">
        <w:rPr>
          <w:szCs w:val="20"/>
        </w:rPr>
        <w:t>7</w:t>
      </w:r>
      <w:r>
        <w:rPr>
          <w:szCs w:val="20"/>
        </w:rPr>
        <w:t>.3. výše),</w:t>
      </w:r>
      <w:r w:rsidRPr="00432BC4">
        <w:rPr>
          <w:szCs w:val="20"/>
        </w:rPr>
        <w:t xml:space="preserve"> uložena na poště</w:t>
      </w:r>
      <w:r>
        <w:rPr>
          <w:szCs w:val="20"/>
        </w:rPr>
        <w:t>. V případě, že adresát odmítne zásilku převzít, považuje se zásilka za doručenou tímto okamžikem.</w:t>
      </w:r>
    </w:p>
    <w:p w14:paraId="42AB60ED" w14:textId="77777777" w:rsidR="00BA5F05" w:rsidRDefault="00BA5F05" w:rsidP="00BA5F05">
      <w:pPr>
        <w:numPr>
          <w:ilvl w:val="1"/>
          <w:numId w:val="14"/>
        </w:numPr>
        <w:ind w:right="-354"/>
        <w:rPr>
          <w:szCs w:val="20"/>
        </w:rPr>
      </w:pPr>
      <w:r w:rsidRPr="00432BC4">
        <w:rPr>
          <w:szCs w:val="20"/>
        </w:rPr>
        <w:t>Písemnosti v elektronické podobě se doručují</w:t>
      </w:r>
      <w:r w:rsidR="0009535F">
        <w:rPr>
          <w:szCs w:val="20"/>
        </w:rPr>
        <w:t xml:space="preserve"> </w:t>
      </w:r>
      <w:r w:rsidRPr="00432BC4">
        <w:rPr>
          <w:szCs w:val="20"/>
        </w:rPr>
        <w:t>na elektronické adresy sítě Internet uvedené oběma stranami v</w:t>
      </w:r>
      <w:r w:rsidR="0009535F">
        <w:rPr>
          <w:szCs w:val="20"/>
        </w:rPr>
        <w:t>e smlouvě</w:t>
      </w:r>
      <w:r w:rsidRPr="00432BC4">
        <w:rPr>
          <w:szCs w:val="20"/>
        </w:rPr>
        <w:t>.</w:t>
      </w:r>
    </w:p>
    <w:p w14:paraId="43B22BE1" w14:textId="77777777" w:rsidR="00BA5F05" w:rsidRDefault="00BA5F05" w:rsidP="00BA5F05">
      <w:pPr>
        <w:numPr>
          <w:ilvl w:val="1"/>
          <w:numId w:val="14"/>
        </w:numPr>
        <w:ind w:right="-354"/>
        <w:rPr>
          <w:szCs w:val="20"/>
        </w:rPr>
      </w:pPr>
      <w:r w:rsidRPr="00432BC4">
        <w:rPr>
          <w:szCs w:val="20"/>
        </w:rPr>
        <w:t xml:space="preserve">Příjemce je povinen potvrdit </w:t>
      </w:r>
      <w:r w:rsidR="001436E5">
        <w:rPr>
          <w:szCs w:val="20"/>
        </w:rPr>
        <w:t xml:space="preserve">odesílateli </w:t>
      </w:r>
      <w:r w:rsidRPr="00432BC4">
        <w:rPr>
          <w:szCs w:val="20"/>
        </w:rPr>
        <w:t>doručení písemnost</w:t>
      </w:r>
      <w:r w:rsidR="001436E5">
        <w:rPr>
          <w:szCs w:val="20"/>
        </w:rPr>
        <w:t>i v elektronické podobě</w:t>
      </w:r>
      <w:r w:rsidRPr="00432BC4">
        <w:rPr>
          <w:szCs w:val="20"/>
        </w:rPr>
        <w:t xml:space="preserve"> rovněž elektronicky, a to neprodleně.</w:t>
      </w:r>
    </w:p>
    <w:p w14:paraId="254A3EAA" w14:textId="77777777" w:rsidR="00BA5F05" w:rsidRPr="00611006" w:rsidRDefault="00BA5F05" w:rsidP="00BA5F05">
      <w:pPr>
        <w:numPr>
          <w:ilvl w:val="1"/>
          <w:numId w:val="14"/>
        </w:numPr>
        <w:spacing w:after="240"/>
        <w:ind w:right="-354"/>
        <w:rPr>
          <w:szCs w:val="20"/>
        </w:rPr>
      </w:pPr>
      <w:r w:rsidRPr="00432BC4">
        <w:rPr>
          <w:szCs w:val="20"/>
        </w:rPr>
        <w:t xml:space="preserve">Pokud byla doručena </w:t>
      </w:r>
      <w:r w:rsidR="001436E5">
        <w:rPr>
          <w:szCs w:val="20"/>
        </w:rPr>
        <w:t xml:space="preserve">písemnost v elektronické podobě, která je </w:t>
      </w:r>
      <w:r w:rsidRPr="00432BC4">
        <w:rPr>
          <w:szCs w:val="20"/>
        </w:rPr>
        <w:t>nečitelná, uvědomí o tom příjemce neprodleně odesílatele.</w:t>
      </w:r>
    </w:p>
    <w:p w14:paraId="2C52D720" w14:textId="77777777" w:rsidR="00BA5F05" w:rsidRPr="00611006" w:rsidRDefault="00BA5F05" w:rsidP="00BA5F05">
      <w:pPr>
        <w:numPr>
          <w:ilvl w:val="0"/>
          <w:numId w:val="14"/>
        </w:numPr>
        <w:ind w:left="567" w:right="-354" w:hanging="567"/>
        <w:rPr>
          <w:szCs w:val="20"/>
        </w:rPr>
      </w:pPr>
      <w:r w:rsidRPr="00611006">
        <w:rPr>
          <w:b/>
          <w:szCs w:val="20"/>
        </w:rPr>
        <w:t>ÚČTOVÁNÍ (FAKTURACE) CENY DODÁVANÉ TEPELNÉ ENERGIE</w:t>
      </w:r>
    </w:p>
    <w:p w14:paraId="0113B887" w14:textId="3885C603" w:rsidR="00BA5F05" w:rsidRPr="00EF5F3C" w:rsidRDefault="00BA5F05" w:rsidP="00BA5F05">
      <w:pPr>
        <w:numPr>
          <w:ilvl w:val="1"/>
          <w:numId w:val="14"/>
        </w:numPr>
        <w:ind w:right="-354"/>
        <w:rPr>
          <w:szCs w:val="20"/>
        </w:rPr>
      </w:pPr>
      <w:r w:rsidRPr="00432BC4">
        <w:rPr>
          <w:szCs w:val="20"/>
        </w:rPr>
        <w:t xml:space="preserve">Dodavatel účtuje </w:t>
      </w:r>
      <w:r w:rsidRPr="00432BC4">
        <w:rPr>
          <w:bCs/>
          <w:szCs w:val="20"/>
        </w:rPr>
        <w:t xml:space="preserve">ceny dodávané tepelné energie </w:t>
      </w:r>
      <w:r>
        <w:rPr>
          <w:bCs/>
          <w:szCs w:val="20"/>
        </w:rPr>
        <w:t>O</w:t>
      </w:r>
      <w:r w:rsidRPr="00432BC4">
        <w:rPr>
          <w:bCs/>
          <w:szCs w:val="20"/>
        </w:rPr>
        <w:t>dběrateli fakturami s náležitostmi daňového dokladu tak, aby takto vyúčtované ceny byly maximálně přípustné z hlediska státní regulace cen dodávané tepelné energie realizované formou věcného usměrňování cen ve smyslu § 6 zákona č. 526/1990 Sb., o cenách, ve zn</w:t>
      </w:r>
      <w:r>
        <w:rPr>
          <w:bCs/>
          <w:szCs w:val="20"/>
        </w:rPr>
        <w:t>ění pozdějších změn a doplňků.</w:t>
      </w:r>
    </w:p>
    <w:p w14:paraId="6C9AB49C" w14:textId="77777777" w:rsidR="00BA5F05" w:rsidRDefault="00BA5F05" w:rsidP="00BA5F05">
      <w:pPr>
        <w:numPr>
          <w:ilvl w:val="1"/>
          <w:numId w:val="14"/>
        </w:numPr>
        <w:ind w:right="-354"/>
        <w:rPr>
          <w:szCs w:val="20"/>
        </w:rPr>
      </w:pPr>
      <w:r w:rsidRPr="00432BC4">
        <w:rPr>
          <w:szCs w:val="20"/>
        </w:rPr>
        <w:t xml:space="preserve">V případě, že </w:t>
      </w:r>
      <w:r>
        <w:rPr>
          <w:szCs w:val="20"/>
        </w:rPr>
        <w:t>O</w:t>
      </w:r>
      <w:r w:rsidRPr="00432BC4">
        <w:rPr>
          <w:szCs w:val="20"/>
        </w:rPr>
        <w:t>dběratel reklamuje fakturaci</w:t>
      </w:r>
      <w:r w:rsidR="0009535F">
        <w:rPr>
          <w:szCs w:val="20"/>
        </w:rPr>
        <w:t xml:space="preserve"> </w:t>
      </w:r>
      <w:r w:rsidRPr="00432BC4">
        <w:rPr>
          <w:szCs w:val="20"/>
        </w:rPr>
        <w:t xml:space="preserve">za dodávku tepelné energie, </w:t>
      </w:r>
      <w:r w:rsidR="001436E5">
        <w:rPr>
          <w:szCs w:val="20"/>
        </w:rPr>
        <w:t>není</w:t>
      </w:r>
      <w:r w:rsidR="001436E5" w:rsidRPr="00432BC4">
        <w:rPr>
          <w:szCs w:val="20"/>
        </w:rPr>
        <w:t xml:space="preserve"> </w:t>
      </w:r>
      <w:r w:rsidRPr="00432BC4">
        <w:rPr>
          <w:szCs w:val="20"/>
        </w:rPr>
        <w:t>povinen</w:t>
      </w:r>
      <w:r w:rsidR="001436E5">
        <w:rPr>
          <w:szCs w:val="20"/>
        </w:rPr>
        <w:t xml:space="preserve"> do doby vyřešení reklamace zaplatit</w:t>
      </w:r>
      <w:r w:rsidRPr="00432BC4">
        <w:rPr>
          <w:szCs w:val="20"/>
        </w:rPr>
        <w:t xml:space="preserve"> </w:t>
      </w:r>
      <w:r>
        <w:rPr>
          <w:szCs w:val="20"/>
        </w:rPr>
        <w:t>D</w:t>
      </w:r>
      <w:r w:rsidRPr="00432BC4">
        <w:rPr>
          <w:szCs w:val="20"/>
        </w:rPr>
        <w:t xml:space="preserve">odavateli </w:t>
      </w:r>
      <w:r w:rsidR="001436E5">
        <w:rPr>
          <w:szCs w:val="20"/>
        </w:rPr>
        <w:t>fakturu, které se reklamace týká.</w:t>
      </w:r>
    </w:p>
    <w:p w14:paraId="060FACE7" w14:textId="77777777" w:rsidR="00BA5F05" w:rsidRDefault="00BA5F05" w:rsidP="00BA5F05">
      <w:pPr>
        <w:numPr>
          <w:ilvl w:val="1"/>
          <w:numId w:val="14"/>
        </w:numPr>
        <w:ind w:right="-354"/>
        <w:rPr>
          <w:szCs w:val="20"/>
        </w:rPr>
      </w:pPr>
      <w:r w:rsidRPr="00432BC4">
        <w:rPr>
          <w:szCs w:val="20"/>
        </w:rPr>
        <w:t xml:space="preserve">Dodavatel i </w:t>
      </w:r>
      <w:r>
        <w:rPr>
          <w:szCs w:val="20"/>
        </w:rPr>
        <w:t>O</w:t>
      </w:r>
      <w:r w:rsidRPr="00432BC4">
        <w:rPr>
          <w:szCs w:val="20"/>
        </w:rPr>
        <w:t>dběratel mohou uplatnit reklamaci na kvalitu dodávky tepelné energie,</w:t>
      </w:r>
      <w:r w:rsidR="00B61FDD">
        <w:rPr>
          <w:szCs w:val="20"/>
        </w:rPr>
        <w:t xml:space="preserve"> </w:t>
      </w:r>
      <w:r w:rsidRPr="00432BC4">
        <w:rPr>
          <w:szCs w:val="20"/>
        </w:rPr>
        <w:t>na fakturované množství tepelné energie a</w:t>
      </w:r>
      <w:r w:rsidR="00B61FDD">
        <w:rPr>
          <w:szCs w:val="20"/>
        </w:rPr>
        <w:t xml:space="preserve"> </w:t>
      </w:r>
      <w:r w:rsidRPr="00432BC4">
        <w:rPr>
          <w:szCs w:val="20"/>
        </w:rPr>
        <w:t>na částku za tepelnou energii, nejpozději do šesti měsíců ode dne splatnosti fakturované částky</w:t>
      </w:r>
      <w:r w:rsidR="00B61FDD">
        <w:rPr>
          <w:szCs w:val="20"/>
        </w:rPr>
        <w:t xml:space="preserve"> </w:t>
      </w:r>
      <w:r w:rsidRPr="00432BC4">
        <w:rPr>
          <w:szCs w:val="20"/>
        </w:rPr>
        <w:t>za reklamované období. Reklamace se uplatňují</w:t>
      </w:r>
      <w:r w:rsidR="00B61FDD">
        <w:rPr>
          <w:szCs w:val="20"/>
        </w:rPr>
        <w:t xml:space="preserve"> </w:t>
      </w:r>
      <w:r w:rsidRPr="00432BC4">
        <w:rPr>
          <w:szCs w:val="20"/>
        </w:rPr>
        <w:t xml:space="preserve">u </w:t>
      </w:r>
      <w:r>
        <w:rPr>
          <w:szCs w:val="20"/>
        </w:rPr>
        <w:t>D</w:t>
      </w:r>
      <w:r w:rsidRPr="00432BC4">
        <w:rPr>
          <w:szCs w:val="20"/>
        </w:rPr>
        <w:t xml:space="preserve">odavatele výhradně písemně na příslušné kontaktní adrese dle </w:t>
      </w:r>
      <w:r w:rsidR="00B61FDD">
        <w:rPr>
          <w:szCs w:val="20"/>
        </w:rPr>
        <w:t>smlouvy</w:t>
      </w:r>
      <w:r w:rsidRPr="00432BC4">
        <w:rPr>
          <w:szCs w:val="20"/>
        </w:rPr>
        <w:t>.</w:t>
      </w:r>
    </w:p>
    <w:p w14:paraId="2968AFB1" w14:textId="77777777" w:rsidR="00BA5F05" w:rsidRPr="00A156B4" w:rsidRDefault="00BA5F05" w:rsidP="00BA5F05">
      <w:pPr>
        <w:numPr>
          <w:ilvl w:val="0"/>
          <w:numId w:val="14"/>
        </w:numPr>
        <w:ind w:left="567" w:right="-354" w:hanging="567"/>
        <w:rPr>
          <w:b/>
          <w:szCs w:val="20"/>
        </w:rPr>
      </w:pPr>
      <w:r w:rsidRPr="00A156B4">
        <w:rPr>
          <w:b/>
          <w:szCs w:val="20"/>
        </w:rPr>
        <w:lastRenderedPageBreak/>
        <w:t>OSTATNÍ</w:t>
      </w:r>
    </w:p>
    <w:p w14:paraId="3028F025" w14:textId="77777777" w:rsidR="00BA5F05" w:rsidRDefault="00BA5F05" w:rsidP="00BA5F05">
      <w:pPr>
        <w:numPr>
          <w:ilvl w:val="1"/>
          <w:numId w:val="14"/>
        </w:numPr>
        <w:ind w:right="-354"/>
        <w:rPr>
          <w:szCs w:val="20"/>
        </w:rPr>
      </w:pPr>
      <w:r w:rsidRPr="000C7154">
        <w:rPr>
          <w:szCs w:val="20"/>
        </w:rPr>
        <w:t>Náhrada škody</w:t>
      </w:r>
      <w:r>
        <w:rPr>
          <w:szCs w:val="20"/>
        </w:rPr>
        <w:t xml:space="preserve"> v </w:t>
      </w:r>
      <w:r w:rsidRPr="00F45EA7">
        <w:rPr>
          <w:szCs w:val="20"/>
        </w:rPr>
        <w:t xml:space="preserve">případě předčasného ukončení </w:t>
      </w:r>
      <w:r w:rsidR="00B61FDD" w:rsidRPr="00F45EA7">
        <w:rPr>
          <w:szCs w:val="20"/>
        </w:rPr>
        <w:t>smlouvy</w:t>
      </w:r>
      <w:r w:rsidRPr="00F45EA7">
        <w:rPr>
          <w:szCs w:val="20"/>
        </w:rPr>
        <w:t xml:space="preserve"> či v případě ukončení či omezení Dodávek dle </w:t>
      </w:r>
      <w:r w:rsidR="00B61FDD" w:rsidRPr="00F45EA7">
        <w:rPr>
          <w:szCs w:val="20"/>
        </w:rPr>
        <w:t>smlouvy</w:t>
      </w:r>
      <w:r w:rsidRPr="00350261">
        <w:rPr>
          <w:szCs w:val="20"/>
        </w:rPr>
        <w:t xml:space="preserve"> může zahrnovat vedle vynaložených nákladů Dodavatele na pořízení a instalaci zdroje tepelné energie a úpravu nemovitosti Odběratele</w:t>
      </w:r>
      <w:r>
        <w:rPr>
          <w:szCs w:val="20"/>
        </w:rPr>
        <w:t xml:space="preserve">, ve které je zdroj tepelné energie umístěn, </w:t>
      </w:r>
      <w:r w:rsidRPr="000C7154">
        <w:rPr>
          <w:szCs w:val="20"/>
        </w:rPr>
        <w:t xml:space="preserve">i další škodu, včetně ušlého zisku Dodavatele. Zánikem </w:t>
      </w:r>
      <w:r w:rsidR="00B61FDD">
        <w:rPr>
          <w:szCs w:val="20"/>
        </w:rPr>
        <w:t>smlouvy</w:t>
      </w:r>
      <w:r w:rsidRPr="000C7154">
        <w:rPr>
          <w:szCs w:val="20"/>
        </w:rPr>
        <w:t xml:space="preserve"> není </w:t>
      </w:r>
      <w:r>
        <w:rPr>
          <w:szCs w:val="20"/>
        </w:rPr>
        <w:t xml:space="preserve">nikdy </w:t>
      </w:r>
      <w:r w:rsidRPr="000C7154">
        <w:rPr>
          <w:szCs w:val="20"/>
        </w:rPr>
        <w:t>dotčeno právo Dodavatele na náhradu škody.</w:t>
      </w:r>
      <w:r w:rsidR="001436E5">
        <w:rPr>
          <w:szCs w:val="20"/>
        </w:rPr>
        <w:t xml:space="preserve"> Odběratel není povinen </w:t>
      </w:r>
      <w:r w:rsidR="00F74B70">
        <w:rPr>
          <w:szCs w:val="20"/>
        </w:rPr>
        <w:t>nahradit škodu dle tohoto odstavce v případě, že odstoupí od této smlouvy z důvodu jejího porušení Dodavatelem</w:t>
      </w:r>
      <w:r w:rsidR="006500C2">
        <w:rPr>
          <w:szCs w:val="20"/>
        </w:rPr>
        <w:t xml:space="preserve">. Odběratel dále není povinen nahradit škodu dle tohoto odstavce v případě, že smlouva bude ukončena </w:t>
      </w:r>
      <w:r w:rsidR="006F1E29">
        <w:rPr>
          <w:szCs w:val="20"/>
        </w:rPr>
        <w:t>D</w:t>
      </w:r>
      <w:r w:rsidR="006500C2">
        <w:rPr>
          <w:szCs w:val="20"/>
        </w:rPr>
        <w:t>odavatelem z důvodu nikoliv na st</w:t>
      </w:r>
      <w:r w:rsidR="006F1E29">
        <w:rPr>
          <w:szCs w:val="20"/>
        </w:rPr>
        <w:t>raně</w:t>
      </w:r>
      <w:r w:rsidR="006500C2">
        <w:rPr>
          <w:szCs w:val="20"/>
        </w:rPr>
        <w:t xml:space="preserve"> Odběratele.</w:t>
      </w:r>
    </w:p>
    <w:p w14:paraId="2D9182ED" w14:textId="77777777" w:rsidR="00BA5F05" w:rsidRDefault="00BA5F05" w:rsidP="0077574C">
      <w:pPr>
        <w:numPr>
          <w:ilvl w:val="1"/>
          <w:numId w:val="14"/>
        </w:numPr>
        <w:ind w:right="-354"/>
        <w:rPr>
          <w:szCs w:val="20"/>
        </w:rPr>
      </w:pPr>
      <w:r>
        <w:rPr>
          <w:szCs w:val="20"/>
        </w:rPr>
        <w:t>Smluvní pokuty sjednané v</w:t>
      </w:r>
      <w:r w:rsidR="00B61FDD">
        <w:rPr>
          <w:szCs w:val="20"/>
        </w:rPr>
        <w:t>e</w:t>
      </w:r>
      <w:r>
        <w:rPr>
          <w:szCs w:val="20"/>
        </w:rPr>
        <w:t> </w:t>
      </w:r>
      <w:r w:rsidR="00B61FDD">
        <w:rPr>
          <w:szCs w:val="20"/>
        </w:rPr>
        <w:t>smlouvě</w:t>
      </w:r>
      <w:r>
        <w:rPr>
          <w:szCs w:val="20"/>
        </w:rPr>
        <w:t xml:space="preserve"> se nedotýkají jakýmkoli způsobem práva na náhradu škody v plné výši. </w:t>
      </w:r>
    </w:p>
    <w:p w14:paraId="42587C83" w14:textId="77777777" w:rsidR="00BA5F05" w:rsidRPr="004A1A05" w:rsidRDefault="00BA5F05" w:rsidP="00BA5F05"/>
    <w:p w14:paraId="57AD9331" w14:textId="77777777" w:rsidR="004A1A05" w:rsidRDefault="004A1A05" w:rsidP="004A1A05">
      <w:pPr>
        <w:pStyle w:val="Nadpis2"/>
        <w:numPr>
          <w:ilvl w:val="0"/>
          <w:numId w:val="3"/>
        </w:numPr>
        <w:spacing w:before="0"/>
      </w:pPr>
    </w:p>
    <w:p w14:paraId="38F4A454" w14:textId="77777777" w:rsidR="00936069" w:rsidRDefault="008F349B" w:rsidP="00C40B53">
      <w:pPr>
        <w:pStyle w:val="Nadpis2"/>
        <w:spacing w:before="0"/>
        <w:ind w:left="360"/>
      </w:pPr>
      <w:r>
        <w:t>ostatn</w:t>
      </w:r>
      <w:r w:rsidR="00C40B53">
        <w:t>í ujednání</w:t>
      </w:r>
    </w:p>
    <w:p w14:paraId="1C510914" w14:textId="4DEB8807" w:rsidR="008F349B" w:rsidRPr="008F349B" w:rsidRDefault="008F349B" w:rsidP="00666A20">
      <w:pPr>
        <w:numPr>
          <w:ilvl w:val="0"/>
          <w:numId w:val="5"/>
        </w:numPr>
        <w:ind w:left="426" w:hanging="426"/>
        <w:rPr>
          <w:b/>
        </w:rPr>
      </w:pPr>
      <w:r w:rsidRPr="008F349B">
        <w:t xml:space="preserve">Odběratel podpisem této smlouvy prohlašuje, že mu je znám účel této smlouvy a je si vědom toho, že Dodavatel investuje do </w:t>
      </w:r>
      <w:r w:rsidR="00840002">
        <w:t xml:space="preserve">Rekonstrukce a do </w:t>
      </w:r>
      <w:r w:rsidRPr="008F349B">
        <w:t xml:space="preserve">výstavby Zdroje KVET (případně včetně souvisejících úprav Budovy) finanční prostředky v řádu </w:t>
      </w:r>
      <w:r w:rsidR="0091061C">
        <w:t>jednotek</w:t>
      </w:r>
      <w:r w:rsidRPr="008F349B">
        <w:t xml:space="preserve"> milionů korun českých. Odběratel bude proto odebírat tepelnou energii </w:t>
      </w:r>
      <w:r w:rsidR="00840002">
        <w:t xml:space="preserve">ze Zdrojové části a </w:t>
      </w:r>
      <w:r w:rsidRPr="008F349B">
        <w:t xml:space="preserve">ze </w:t>
      </w:r>
      <w:r w:rsidR="00266700">
        <w:t>Zdroje KVET</w:t>
      </w:r>
      <w:r w:rsidR="00266700" w:rsidRPr="008F349B">
        <w:t xml:space="preserve"> </w:t>
      </w:r>
      <w:r w:rsidRPr="008F349B">
        <w:t>Dodavatele vždy přednostně před jinými zdroji tepelné energie, a to za podmínek uvedených v této smlouvě a jejích přílohách.</w:t>
      </w:r>
    </w:p>
    <w:p w14:paraId="6BD60095" w14:textId="419595E5" w:rsidR="00B61939" w:rsidRPr="00F73192" w:rsidRDefault="00B61939" w:rsidP="00666A20">
      <w:pPr>
        <w:numPr>
          <w:ilvl w:val="0"/>
          <w:numId w:val="5"/>
        </w:numPr>
        <w:ind w:left="426" w:hanging="426"/>
        <w:rPr>
          <w:b/>
        </w:rPr>
      </w:pPr>
      <w:r>
        <w:t>Dodavatel bude prostřednictvím svého technického vybavení zajišťovat nepřetržit</w:t>
      </w:r>
      <w:r w:rsidR="005A5F6C">
        <w:t>ý</w:t>
      </w:r>
      <w:r>
        <w:t xml:space="preserve"> 24 hodinový monitoring </w:t>
      </w:r>
      <w:r w:rsidR="0012771D">
        <w:t xml:space="preserve">Kotle i </w:t>
      </w:r>
      <w:r w:rsidR="00C145F7">
        <w:t>KGJ</w:t>
      </w:r>
      <w:r>
        <w:t>, což je zahrnuto v ceně tepla. Dodavatel dále prohlašuje, že je schopen</w:t>
      </w:r>
      <w:r w:rsidR="005A5F6C">
        <w:t xml:space="preserve"> </w:t>
      </w:r>
      <w:r>
        <w:t xml:space="preserve">prostřednictvím svého technického vybavení dálkově ovládat </w:t>
      </w:r>
      <w:r w:rsidR="00C145F7">
        <w:t>Kotel a KGJ</w:t>
      </w:r>
      <w:r>
        <w:t>, což je zahrnu</w:t>
      </w:r>
      <w:r w:rsidR="005A5F6C">
        <w:t>t</w:t>
      </w:r>
      <w:r>
        <w:t>o v ceně tepla.</w:t>
      </w:r>
    </w:p>
    <w:p w14:paraId="0BE13670" w14:textId="02D8FFCB" w:rsidR="00F73192" w:rsidRPr="00D40030" w:rsidRDefault="00F73192" w:rsidP="00BB2CBE">
      <w:pPr>
        <w:numPr>
          <w:ilvl w:val="0"/>
          <w:numId w:val="5"/>
        </w:numPr>
        <w:ind w:left="426" w:hanging="426"/>
      </w:pPr>
      <w:r>
        <w:t>Dodavatel prohlašuje</w:t>
      </w:r>
      <w:r w:rsidR="005A5F6C">
        <w:t>,</w:t>
      </w:r>
      <w:r>
        <w:t xml:space="preserve"> že má uzavřené a po celou dobu platnosti této smlouvy bude mít platné pojištění odpovědnosti za škodu způsobenou třetí osobě </w:t>
      </w:r>
      <w:r w:rsidRPr="00D40030">
        <w:t xml:space="preserve">s minimálním limitem </w:t>
      </w:r>
      <w:r w:rsidR="009B5216" w:rsidRPr="00D40030">
        <w:t xml:space="preserve">pojistného plnění </w:t>
      </w:r>
      <w:r w:rsidR="0091061C" w:rsidRPr="00D40030">
        <w:t>90</w:t>
      </w:r>
      <w:r w:rsidRPr="00D40030">
        <w:t> 000 000,-</w:t>
      </w:r>
      <w:r w:rsidR="00840002" w:rsidRPr="00D40030">
        <w:t xml:space="preserve"> </w:t>
      </w:r>
      <w:r w:rsidRPr="00D40030">
        <w:t xml:space="preserve">Kč za jednu pojistnou událost. </w:t>
      </w:r>
    </w:p>
    <w:p w14:paraId="59F22627" w14:textId="77777777" w:rsidR="008F349B" w:rsidRPr="008F349B" w:rsidRDefault="008F349B" w:rsidP="00666A20">
      <w:pPr>
        <w:numPr>
          <w:ilvl w:val="0"/>
          <w:numId w:val="5"/>
        </w:numPr>
        <w:ind w:left="426" w:hanging="426"/>
        <w:rPr>
          <w:b/>
        </w:rPr>
      </w:pPr>
      <w:r w:rsidRPr="008F349B">
        <w:t>Práva a povinnosti smluvních stran z této smlouvy vyplývající přechází automaticky na jejich právní nástupce, a také na všechny jejich další právní nástupce. Za právní nástupce jsou považováni i nabyvatelé prostor, které jsou zásobovány teplem podle této smlouvy.</w:t>
      </w:r>
    </w:p>
    <w:p w14:paraId="39AE7A3D" w14:textId="12DAAE08" w:rsidR="008F349B" w:rsidRPr="008F349B" w:rsidRDefault="008F349B" w:rsidP="00666A20">
      <w:pPr>
        <w:numPr>
          <w:ilvl w:val="0"/>
          <w:numId w:val="5"/>
        </w:numPr>
        <w:ind w:left="426" w:hanging="426"/>
        <w:rPr>
          <w:b/>
        </w:rPr>
      </w:pPr>
      <w:r w:rsidRPr="008F349B">
        <w:t>V případě, že dodávka tepelné energie bude přerušena z důvodu vad na Nemovitost</w:t>
      </w:r>
      <w:r w:rsidR="009876AB">
        <w:t>i nebo kterékoliv její součásti</w:t>
      </w:r>
      <w:r w:rsidRPr="008F349B">
        <w:t>, ve které j</w:t>
      </w:r>
      <w:r w:rsidR="00840002">
        <w:t>sou</w:t>
      </w:r>
      <w:r w:rsidRPr="008F349B">
        <w:t xml:space="preserve"> </w:t>
      </w:r>
      <w:r w:rsidR="00840002">
        <w:t xml:space="preserve">Zdrojová část a </w:t>
      </w:r>
      <w:r w:rsidRPr="008F349B">
        <w:t>Zdroj KVET umístěn</w:t>
      </w:r>
      <w:r w:rsidR="00840002">
        <w:t>y</w:t>
      </w:r>
      <w:r w:rsidR="00D8650F">
        <w:t xml:space="preserve"> vzniklých z důvodů nezaviněných Dodavatelem</w:t>
      </w:r>
      <w:r w:rsidRPr="008F349B">
        <w:t>, neodpovídá Dodavatel až do okamžiku odstranění vad na Nemovitosti</w:t>
      </w:r>
      <w:r w:rsidR="009876AB">
        <w:t xml:space="preserve"> nebo kterékoliv její součásti</w:t>
      </w:r>
      <w:r w:rsidRPr="008F349B">
        <w:t xml:space="preserve"> za tento případ přerušení dodávky tepelné energie. </w:t>
      </w:r>
    </w:p>
    <w:p w14:paraId="7594485B" w14:textId="77777777" w:rsidR="008F349B" w:rsidRPr="008F349B" w:rsidRDefault="008F349B" w:rsidP="00666A20">
      <w:pPr>
        <w:numPr>
          <w:ilvl w:val="0"/>
          <w:numId w:val="5"/>
        </w:numPr>
        <w:ind w:left="426" w:hanging="426"/>
        <w:rPr>
          <w:b/>
        </w:rPr>
      </w:pPr>
      <w:r w:rsidRPr="008F349B">
        <w:t xml:space="preserve">Vztahy a otázky touto smlouvou výslovně neupravené se řídí </w:t>
      </w:r>
      <w:r w:rsidR="00892EE8">
        <w:t xml:space="preserve">českým právem, a to zejména </w:t>
      </w:r>
      <w:r w:rsidRPr="008F349B">
        <w:t xml:space="preserve">zákonem č. </w:t>
      </w:r>
      <w:r w:rsidR="00892EE8">
        <w:t>89/2012</w:t>
      </w:r>
      <w:r w:rsidR="00892EE8" w:rsidRPr="005F2C9F">
        <w:t xml:space="preserve"> Sb., </w:t>
      </w:r>
      <w:r w:rsidR="00892EE8">
        <w:t>občanský zákoník, v platném znění</w:t>
      </w:r>
      <w:r w:rsidRPr="008F349B">
        <w:t>, zákonem č. 458/2000 Sb., energetický zákon, ve znění pozdějších předpisů, a zákonem č. 406/2000 Sb., o hospodaření energií, v platném znění pozdějších předpisů.</w:t>
      </w:r>
    </w:p>
    <w:p w14:paraId="54A8AEDD" w14:textId="77777777" w:rsidR="008F349B" w:rsidRPr="008F349B" w:rsidRDefault="008F349B" w:rsidP="00666A20">
      <w:pPr>
        <w:numPr>
          <w:ilvl w:val="0"/>
          <w:numId w:val="5"/>
        </w:numPr>
        <w:ind w:left="426" w:hanging="426"/>
        <w:rPr>
          <w:b/>
        </w:rPr>
      </w:pPr>
      <w:r w:rsidRPr="008F349B">
        <w:t>Ostatní podmínky dodávky tepelné energie se řídí přílohami této smlouvy, tedy Cenovým ujednáním</w:t>
      </w:r>
      <w:r w:rsidR="00B61FDD">
        <w:t xml:space="preserve"> a</w:t>
      </w:r>
      <w:r w:rsidR="00B61FDD" w:rsidRPr="008F349B">
        <w:t xml:space="preserve"> </w:t>
      </w:r>
      <w:r w:rsidRPr="008F349B">
        <w:t xml:space="preserve">Odběrovým diagramem. Smluvní strany v této souvislosti prohlašují, že si tyto dokumenty prostudovaly a že na ně ve všech jejich aspektech pohlíží jako na nedílnou, závaznou a vynutitelnou součást této smlouvy. </w:t>
      </w:r>
    </w:p>
    <w:p w14:paraId="66492C06" w14:textId="77777777" w:rsidR="008F349B" w:rsidRPr="008F349B" w:rsidRDefault="008F349B" w:rsidP="00666A20">
      <w:pPr>
        <w:numPr>
          <w:ilvl w:val="0"/>
          <w:numId w:val="5"/>
        </w:numPr>
        <w:ind w:left="426" w:hanging="426"/>
        <w:rPr>
          <w:b/>
        </w:rPr>
      </w:pPr>
      <w:r w:rsidRPr="008F349B">
        <w:t>V případě, že je nebo se stane některé ustanovení této smlouvy neplatné, neúčinné nebo nevykonatelné, nebude tím dotčena platnost, účinnost a vykonatelnost ostatních smluvních ujednání. Smluvní strany jsou povinny poskytnout si vzájemnou součinnost pro to, aby neplatné, neúčinné nebo nevykonatelné ustanovení bylo nahrazeno takovým ustanovením platným, účinným a vykonatelným, které v nejvyšší možné míře zachovává ekonomický účel zamýšlený neplatným, neúčinným nebo nevykonatelným ustanovením. To samé platí i pro případ smluvní mezery.</w:t>
      </w:r>
    </w:p>
    <w:p w14:paraId="202AD6EC" w14:textId="77777777" w:rsidR="009B5216" w:rsidRPr="00352DCF" w:rsidRDefault="009B5216" w:rsidP="00666A20">
      <w:pPr>
        <w:numPr>
          <w:ilvl w:val="0"/>
          <w:numId w:val="5"/>
        </w:numPr>
        <w:ind w:left="426" w:hanging="426"/>
        <w:rPr>
          <w:b/>
        </w:rPr>
      </w:pPr>
      <w:r>
        <w:t>Smluvní strany</w:t>
      </w:r>
      <w:r w:rsidRPr="00502E0E">
        <w:t xml:space="preserve"> se</w:t>
      </w:r>
      <w:r w:rsidRPr="007907B2">
        <w:t xml:space="preserve"> zavazují, že budou chránit a utajovat před třetími osobami skutečnosti tvořící obchodní tajemství, důvěrné informace a jiné skutečnosti, se kterými přišli do styku v souvislosti se smlouvou. Smluvní strany sjednávají, že důvěrnými informacemi jsou veškeré informace, podklady a dokumenty poskytnuté v souvislosti se smlouvou, pokud nejsou běžně dostupné ve veřejných informačních zdrojích.</w:t>
      </w:r>
      <w:r>
        <w:t xml:space="preserve"> Ustanovením tohoto odstavce není dotčena povinnost </w:t>
      </w:r>
      <w:r w:rsidR="005A09F2">
        <w:t xml:space="preserve">Odběratele </w:t>
      </w:r>
      <w:r>
        <w:t xml:space="preserve">zveřejnit určité informace ve smyslu </w:t>
      </w:r>
      <w:proofErr w:type="spellStart"/>
      <w:r>
        <w:t>ust</w:t>
      </w:r>
      <w:proofErr w:type="spellEnd"/>
      <w:r>
        <w:t xml:space="preserve">. § 9 odst. 2 zákona č. 106/1999 Sb., o svobodném přístupu k informacím, v platném znění, resp. ve smyslu zákona č. 137/2006 Sb., o veřejných zakázkách, v platném znění, což se </w:t>
      </w:r>
      <w:r w:rsidR="005A09F2">
        <w:t xml:space="preserve">Dodavatel </w:t>
      </w:r>
      <w:r>
        <w:t>zavazuje respektovat.</w:t>
      </w:r>
    </w:p>
    <w:p w14:paraId="2683CF10" w14:textId="77777777" w:rsidR="00767825" w:rsidRPr="00767825" w:rsidRDefault="00767825" w:rsidP="00666A20">
      <w:pPr>
        <w:numPr>
          <w:ilvl w:val="0"/>
          <w:numId w:val="5"/>
        </w:numPr>
        <w:ind w:left="426" w:hanging="426"/>
        <w:rPr>
          <w:b/>
        </w:rPr>
      </w:pPr>
      <w:r w:rsidRPr="00164658">
        <w:lastRenderedPageBreak/>
        <w:t>Jakékoliv změny této smlouvy musí být učiněny formou písemných dodatků, chronologicky číselně řazených a podepsaných oprávněnými</w:t>
      </w:r>
      <w:r>
        <w:t xml:space="preserve"> zástupci</w:t>
      </w:r>
      <w:r w:rsidRPr="00164658">
        <w:t xml:space="preserve"> smluvních stran.</w:t>
      </w:r>
    </w:p>
    <w:p w14:paraId="29AB5C8D" w14:textId="77777777" w:rsidR="00892EE8" w:rsidRPr="00BB2CBE" w:rsidRDefault="00892EE8" w:rsidP="00666A20">
      <w:pPr>
        <w:numPr>
          <w:ilvl w:val="0"/>
          <w:numId w:val="5"/>
        </w:numPr>
        <w:ind w:left="426" w:hanging="426"/>
        <w:rPr>
          <w:b/>
        </w:rPr>
      </w:pPr>
      <w:r>
        <w:rPr>
          <w:rFonts w:cs="Calibri"/>
        </w:rPr>
        <w:t>Případné spory mezi smluvními stranami budou řešeny obecným soudem dle příslušných ustanovení zákona č. 99/1963 Sb., občanský soudní řád, v platném znění.</w:t>
      </w:r>
    </w:p>
    <w:p w14:paraId="2E0A487E" w14:textId="77777777" w:rsidR="008F349B" w:rsidRPr="008F349B" w:rsidRDefault="008F349B" w:rsidP="00666A20">
      <w:pPr>
        <w:numPr>
          <w:ilvl w:val="0"/>
          <w:numId w:val="5"/>
        </w:numPr>
        <w:ind w:left="426" w:hanging="426"/>
        <w:rPr>
          <w:b/>
        </w:rPr>
      </w:pPr>
      <w:r w:rsidRPr="008F349B">
        <w:t>Tato smlouva je vyhotovena ve dvou vyhotoveních, z nichž každá smluvní strana obdrží po jednom vyhotovení.</w:t>
      </w:r>
    </w:p>
    <w:p w14:paraId="5B8BD73F" w14:textId="77777777" w:rsidR="008F349B" w:rsidRPr="00E51916" w:rsidRDefault="008F349B" w:rsidP="00666A20">
      <w:pPr>
        <w:numPr>
          <w:ilvl w:val="0"/>
          <w:numId w:val="5"/>
        </w:numPr>
        <w:ind w:left="426" w:hanging="426"/>
        <w:rPr>
          <w:b/>
        </w:rPr>
      </w:pPr>
      <w:r w:rsidRPr="008F349B">
        <w:t>Smluvní strany svými podpisy potvrzují, že se s podmínkami této smlouvy řádně seznámily, souhlasí s nimi a že smlouva vyjadřuje jejich pravou a svobodnou vůli.</w:t>
      </w:r>
    </w:p>
    <w:p w14:paraId="4D75EC2F" w14:textId="77777777" w:rsidR="008F349B" w:rsidRPr="008F349B" w:rsidRDefault="008F349B" w:rsidP="00666A20">
      <w:pPr>
        <w:numPr>
          <w:ilvl w:val="0"/>
          <w:numId w:val="5"/>
        </w:numPr>
        <w:ind w:left="426" w:hanging="426"/>
        <w:rPr>
          <w:b/>
        </w:rPr>
      </w:pPr>
      <w:r w:rsidRPr="008F349B">
        <w:t xml:space="preserve">Nedílnou součástí této smlouvy jsou přílohy: </w:t>
      </w:r>
    </w:p>
    <w:p w14:paraId="3FF2A436" w14:textId="77777777" w:rsidR="008F349B" w:rsidRDefault="008F349B" w:rsidP="002B2A79">
      <w:pPr>
        <w:ind w:left="426"/>
      </w:pPr>
      <w:r w:rsidRPr="008F349B">
        <w:t>Příloha č. 1 - Cenové ujednání,</w:t>
      </w:r>
    </w:p>
    <w:p w14:paraId="5A927CFD" w14:textId="77777777" w:rsidR="008F349B" w:rsidRDefault="008F349B" w:rsidP="002B2A79">
      <w:pPr>
        <w:ind w:left="426"/>
      </w:pPr>
      <w:r w:rsidRPr="008F349B">
        <w:t>Příloha č. 2 - Odběrový diagram,</w:t>
      </w:r>
    </w:p>
    <w:p w14:paraId="40D1D9CA" w14:textId="77777777" w:rsidR="00F73192" w:rsidRDefault="00F73192" w:rsidP="002B2A79">
      <w:pPr>
        <w:ind w:left="426"/>
      </w:pPr>
      <w:r>
        <w:t xml:space="preserve">Příloha č. </w:t>
      </w:r>
      <w:r w:rsidR="004A1A05">
        <w:t>3</w:t>
      </w:r>
      <w:r>
        <w:t xml:space="preserve"> </w:t>
      </w:r>
      <w:r w:rsidR="00D571B7">
        <w:t xml:space="preserve">– </w:t>
      </w:r>
      <w:r>
        <w:t>P</w:t>
      </w:r>
      <w:r w:rsidR="00D571B7">
        <w:t>otvrzení o pojištění odpovědnosti</w:t>
      </w:r>
    </w:p>
    <w:p w14:paraId="4D9CF917" w14:textId="77777777" w:rsidR="00E51916" w:rsidRDefault="00E51916" w:rsidP="0059581C">
      <w:pPr>
        <w:ind w:left="786"/>
      </w:pPr>
    </w:p>
    <w:p w14:paraId="1A0CD7FA" w14:textId="77777777" w:rsidR="00A25141" w:rsidRDefault="00A25141" w:rsidP="00D01D60">
      <w:pPr>
        <w:spacing w:before="240"/>
      </w:pPr>
      <w:r>
        <w:t xml:space="preserve">V </w:t>
      </w:r>
      <w:r w:rsidR="00D3154C">
        <w:t xml:space="preserve">Ostravě </w:t>
      </w:r>
      <w:r>
        <w:t>dne:</w:t>
      </w:r>
      <w:r w:rsidR="002860B3">
        <w:t xml:space="preserve"> </w:t>
      </w:r>
      <w:r w:rsidR="00E51916">
        <w:tab/>
      </w:r>
      <w:r w:rsidR="002860B3">
        <w:tab/>
      </w:r>
      <w:r w:rsidR="002860B3">
        <w:tab/>
      </w:r>
      <w:r w:rsidR="002860B3">
        <w:tab/>
      </w:r>
      <w:r w:rsidR="00DA43FF">
        <w:tab/>
      </w:r>
      <w:r w:rsidR="00B73C09">
        <w:tab/>
      </w:r>
      <w:r>
        <w:t xml:space="preserve">V </w:t>
      </w:r>
      <w:r w:rsidR="00D3154C">
        <w:t xml:space="preserve">České Třebové </w:t>
      </w:r>
      <w:r>
        <w:t>dne:</w:t>
      </w:r>
      <w:r w:rsidR="002860B3">
        <w:t xml:space="preserve"> </w:t>
      </w:r>
    </w:p>
    <w:p w14:paraId="79C64585" w14:textId="77777777" w:rsidR="00A25141" w:rsidRDefault="00A25141" w:rsidP="00771E24">
      <w:pPr>
        <w:spacing w:before="120"/>
      </w:pPr>
      <w:r>
        <w:t xml:space="preserve">Za </w:t>
      </w:r>
      <w:r w:rsidR="008F349B">
        <w:t>D</w:t>
      </w:r>
      <w:r w:rsidR="008F61BE">
        <w:t>odavatele</w:t>
      </w:r>
      <w:r w:rsidR="00264C06">
        <w:t>:</w:t>
      </w:r>
      <w:r w:rsidR="00264C06">
        <w:tab/>
      </w:r>
      <w:r w:rsidR="00264C06">
        <w:tab/>
      </w:r>
      <w:r w:rsidR="00264C06">
        <w:tab/>
      </w:r>
      <w:r w:rsidR="00264C06">
        <w:tab/>
      </w:r>
      <w:r w:rsidR="008F61BE">
        <w:tab/>
      </w:r>
      <w:r w:rsidR="008F349B">
        <w:tab/>
      </w:r>
      <w:r>
        <w:t xml:space="preserve">Za </w:t>
      </w:r>
      <w:r w:rsidR="008F349B">
        <w:t>O</w:t>
      </w:r>
      <w:r w:rsidR="008F61BE">
        <w:t>dběratele</w:t>
      </w:r>
      <w:r>
        <w:t>:</w:t>
      </w:r>
    </w:p>
    <w:tbl>
      <w:tblPr>
        <w:tblW w:w="0" w:type="auto"/>
        <w:tblLook w:val="04A0" w:firstRow="1" w:lastRow="0" w:firstColumn="1" w:lastColumn="0" w:noHBand="0" w:noVBand="1"/>
      </w:tblPr>
      <w:tblGrid>
        <w:gridCol w:w="4847"/>
        <w:gridCol w:w="4223"/>
      </w:tblGrid>
      <w:tr w:rsidR="00611006" w14:paraId="76F50548" w14:textId="77777777" w:rsidTr="00A53E45">
        <w:tc>
          <w:tcPr>
            <w:tcW w:w="4847" w:type="dxa"/>
            <w:shd w:val="clear" w:color="auto" w:fill="auto"/>
          </w:tcPr>
          <w:p w14:paraId="4665E5E5" w14:textId="77777777" w:rsidR="00611006" w:rsidRDefault="00611006" w:rsidP="00574A99">
            <w:pPr>
              <w:spacing w:after="0"/>
            </w:pPr>
          </w:p>
          <w:p w14:paraId="4E314F4B" w14:textId="77777777" w:rsidR="00112711" w:rsidRDefault="00112711" w:rsidP="00574A99">
            <w:pPr>
              <w:spacing w:after="0"/>
            </w:pPr>
          </w:p>
          <w:p w14:paraId="54BBC690" w14:textId="77777777" w:rsidR="00BF4D3F" w:rsidRDefault="00BF4D3F" w:rsidP="00574A99">
            <w:pPr>
              <w:spacing w:after="0"/>
            </w:pPr>
          </w:p>
        </w:tc>
        <w:tc>
          <w:tcPr>
            <w:tcW w:w="4223" w:type="dxa"/>
            <w:shd w:val="clear" w:color="auto" w:fill="auto"/>
          </w:tcPr>
          <w:p w14:paraId="42BD65BE" w14:textId="77777777" w:rsidR="00611006" w:rsidRDefault="00611006" w:rsidP="00574A99">
            <w:pPr>
              <w:spacing w:after="0"/>
            </w:pPr>
          </w:p>
        </w:tc>
      </w:tr>
      <w:tr w:rsidR="00611006" w14:paraId="5DCECAA3" w14:textId="77777777" w:rsidTr="00A53E45">
        <w:tc>
          <w:tcPr>
            <w:tcW w:w="4847" w:type="dxa"/>
            <w:shd w:val="clear" w:color="auto" w:fill="auto"/>
          </w:tcPr>
          <w:p w14:paraId="30D8A480" w14:textId="77777777" w:rsidR="00611006" w:rsidRDefault="00611006" w:rsidP="00574A99">
            <w:pPr>
              <w:spacing w:after="0"/>
            </w:pPr>
          </w:p>
        </w:tc>
        <w:tc>
          <w:tcPr>
            <w:tcW w:w="4223" w:type="dxa"/>
            <w:shd w:val="clear" w:color="auto" w:fill="auto"/>
          </w:tcPr>
          <w:p w14:paraId="022B9A65" w14:textId="77777777" w:rsidR="00611006" w:rsidRDefault="00611006" w:rsidP="00574A99">
            <w:pPr>
              <w:spacing w:after="0"/>
            </w:pPr>
          </w:p>
        </w:tc>
      </w:tr>
      <w:tr w:rsidR="00611006" w14:paraId="27528B6E" w14:textId="77777777" w:rsidTr="00A53E45">
        <w:tc>
          <w:tcPr>
            <w:tcW w:w="4847" w:type="dxa"/>
            <w:shd w:val="clear" w:color="auto" w:fill="auto"/>
          </w:tcPr>
          <w:p w14:paraId="6140C707" w14:textId="77777777" w:rsidR="00611006" w:rsidRDefault="00611006" w:rsidP="00574A99">
            <w:pPr>
              <w:spacing w:after="0"/>
            </w:pPr>
            <w:r>
              <w:t>_____________________________</w:t>
            </w:r>
          </w:p>
        </w:tc>
        <w:tc>
          <w:tcPr>
            <w:tcW w:w="4223" w:type="dxa"/>
            <w:shd w:val="clear" w:color="auto" w:fill="auto"/>
          </w:tcPr>
          <w:p w14:paraId="0D203309" w14:textId="77777777" w:rsidR="00611006" w:rsidRDefault="00611006" w:rsidP="00574A99">
            <w:pPr>
              <w:spacing w:after="0"/>
            </w:pPr>
            <w:r>
              <w:t>_____________________________</w:t>
            </w:r>
          </w:p>
        </w:tc>
      </w:tr>
      <w:tr w:rsidR="00A53E45" w14:paraId="6A8D8FD2" w14:textId="77777777" w:rsidTr="00A53E45">
        <w:tc>
          <w:tcPr>
            <w:tcW w:w="4847" w:type="dxa"/>
            <w:shd w:val="clear" w:color="auto" w:fill="auto"/>
          </w:tcPr>
          <w:p w14:paraId="24BBC66A" w14:textId="7271D8C5" w:rsidR="00A53E45" w:rsidRPr="00111AA3" w:rsidRDefault="00A53E45" w:rsidP="00A53E45">
            <w:pPr>
              <w:spacing w:after="0"/>
              <w:rPr>
                <w:b/>
              </w:rPr>
            </w:pPr>
            <w:r w:rsidRPr="004912AC">
              <w:fldChar w:fldCharType="begin">
                <w:ffData>
                  <w:name w:val="Text75"/>
                  <w:enabled/>
                  <w:calcOnExit w:val="0"/>
                  <w:textInput/>
                </w:ffData>
              </w:fldChar>
            </w:r>
            <w:r w:rsidRPr="004912AC">
              <w:instrText xml:space="preserve"> FORMTEXT </w:instrText>
            </w:r>
            <w:r w:rsidRPr="004912AC">
              <w:fldChar w:fldCharType="separate"/>
            </w:r>
            <w:r w:rsidRPr="004912AC">
              <w:rPr>
                <w:noProof/>
              </w:rPr>
              <w:t> </w:t>
            </w:r>
            <w:r w:rsidRPr="004912AC">
              <w:rPr>
                <w:noProof/>
              </w:rPr>
              <w:t> </w:t>
            </w:r>
            <w:r w:rsidRPr="004912AC">
              <w:rPr>
                <w:noProof/>
              </w:rPr>
              <w:t> </w:t>
            </w:r>
            <w:r w:rsidRPr="004912AC">
              <w:rPr>
                <w:noProof/>
              </w:rPr>
              <w:t> </w:t>
            </w:r>
            <w:r w:rsidRPr="004912AC">
              <w:rPr>
                <w:noProof/>
              </w:rPr>
              <w:t> </w:t>
            </w:r>
            <w:r w:rsidRPr="004912AC">
              <w:fldChar w:fldCharType="end"/>
            </w:r>
          </w:p>
        </w:tc>
        <w:tc>
          <w:tcPr>
            <w:tcW w:w="4223" w:type="dxa"/>
            <w:shd w:val="clear" w:color="auto" w:fill="auto"/>
          </w:tcPr>
          <w:p w14:paraId="52B7A6F9" w14:textId="51C519A3" w:rsidR="00A53E45" w:rsidRDefault="00A53E45" w:rsidP="00A53E45">
            <w:pPr>
              <w:spacing w:after="0"/>
            </w:pPr>
            <w:r w:rsidRPr="004912AC">
              <w:rPr>
                <w:b/>
              </w:rPr>
              <w:t>Zdeněk Řehák</w:t>
            </w:r>
          </w:p>
        </w:tc>
      </w:tr>
      <w:tr w:rsidR="00A53E45" w14:paraId="332A54C1" w14:textId="77777777" w:rsidTr="00A53E45">
        <w:tc>
          <w:tcPr>
            <w:tcW w:w="4847" w:type="dxa"/>
            <w:shd w:val="clear" w:color="auto" w:fill="auto"/>
          </w:tcPr>
          <w:p w14:paraId="53D364AC" w14:textId="6553A99B" w:rsidR="00A53E45" w:rsidRDefault="00A53E45" w:rsidP="00A53E45">
            <w:pPr>
              <w:spacing w:after="0"/>
            </w:pPr>
            <w:r w:rsidRPr="004912AC">
              <w:fldChar w:fldCharType="begin">
                <w:ffData>
                  <w:name w:val="Text75"/>
                  <w:enabled/>
                  <w:calcOnExit w:val="0"/>
                  <w:textInput/>
                </w:ffData>
              </w:fldChar>
            </w:r>
            <w:r w:rsidRPr="004912AC">
              <w:instrText xml:space="preserve"> FORMTEXT </w:instrText>
            </w:r>
            <w:r w:rsidRPr="004912AC">
              <w:fldChar w:fldCharType="separate"/>
            </w:r>
            <w:r w:rsidRPr="004912AC">
              <w:rPr>
                <w:noProof/>
              </w:rPr>
              <w:t> </w:t>
            </w:r>
            <w:r w:rsidRPr="004912AC">
              <w:rPr>
                <w:noProof/>
              </w:rPr>
              <w:t> </w:t>
            </w:r>
            <w:r w:rsidRPr="004912AC">
              <w:rPr>
                <w:noProof/>
              </w:rPr>
              <w:t> </w:t>
            </w:r>
            <w:r w:rsidRPr="004912AC">
              <w:rPr>
                <w:noProof/>
              </w:rPr>
              <w:t> </w:t>
            </w:r>
            <w:r w:rsidRPr="004912AC">
              <w:rPr>
                <w:noProof/>
              </w:rPr>
              <w:t> </w:t>
            </w:r>
            <w:r w:rsidRPr="004912AC">
              <w:fldChar w:fldCharType="end"/>
            </w:r>
          </w:p>
        </w:tc>
        <w:tc>
          <w:tcPr>
            <w:tcW w:w="4223" w:type="dxa"/>
            <w:shd w:val="clear" w:color="auto" w:fill="auto"/>
          </w:tcPr>
          <w:p w14:paraId="6FC9FE36" w14:textId="603F20E6" w:rsidR="00A53E45" w:rsidRDefault="00A53E45" w:rsidP="00A53E45">
            <w:pPr>
              <w:spacing w:after="0"/>
            </w:pPr>
            <w:r w:rsidRPr="004912AC">
              <w:fldChar w:fldCharType="begin">
                <w:ffData>
                  <w:name w:val="Text187"/>
                  <w:enabled/>
                  <w:calcOnExit w:val="0"/>
                  <w:textInput>
                    <w:default w:val="jednatel"/>
                  </w:textInput>
                </w:ffData>
              </w:fldChar>
            </w:r>
            <w:bookmarkStart w:id="8" w:name="Text187"/>
            <w:r w:rsidRPr="004912AC">
              <w:instrText xml:space="preserve"> FORMTEXT </w:instrText>
            </w:r>
            <w:r w:rsidRPr="004912AC">
              <w:fldChar w:fldCharType="separate"/>
            </w:r>
            <w:r w:rsidRPr="004912AC">
              <w:rPr>
                <w:noProof/>
              </w:rPr>
              <w:t>jednatel</w:t>
            </w:r>
            <w:r w:rsidRPr="004912AC">
              <w:fldChar w:fldCharType="end"/>
            </w:r>
            <w:bookmarkEnd w:id="8"/>
          </w:p>
        </w:tc>
      </w:tr>
      <w:tr w:rsidR="00611006" w14:paraId="2982F9A5" w14:textId="77777777" w:rsidTr="00A53E45">
        <w:tc>
          <w:tcPr>
            <w:tcW w:w="4847" w:type="dxa"/>
            <w:shd w:val="clear" w:color="auto" w:fill="auto"/>
          </w:tcPr>
          <w:p w14:paraId="7A0242C2" w14:textId="77777777" w:rsidR="00611006" w:rsidRDefault="00611006" w:rsidP="00574A99">
            <w:pPr>
              <w:spacing w:after="0"/>
            </w:pPr>
          </w:p>
          <w:p w14:paraId="43C7F3BA" w14:textId="77777777" w:rsidR="00112711" w:rsidRDefault="00112711" w:rsidP="00574A99">
            <w:pPr>
              <w:spacing w:after="0"/>
            </w:pPr>
          </w:p>
        </w:tc>
        <w:tc>
          <w:tcPr>
            <w:tcW w:w="4223" w:type="dxa"/>
            <w:shd w:val="clear" w:color="auto" w:fill="auto"/>
          </w:tcPr>
          <w:p w14:paraId="68DE0C19" w14:textId="77777777" w:rsidR="00611006" w:rsidRDefault="00611006" w:rsidP="00574A99">
            <w:pPr>
              <w:spacing w:after="0"/>
            </w:pPr>
          </w:p>
        </w:tc>
      </w:tr>
      <w:tr w:rsidR="00611006" w14:paraId="09DE379F" w14:textId="77777777" w:rsidTr="00A53E45">
        <w:tc>
          <w:tcPr>
            <w:tcW w:w="4847" w:type="dxa"/>
            <w:shd w:val="clear" w:color="auto" w:fill="auto"/>
          </w:tcPr>
          <w:p w14:paraId="20AFEB43" w14:textId="77777777" w:rsidR="00611006" w:rsidRDefault="00611006" w:rsidP="00574A99">
            <w:pPr>
              <w:spacing w:after="0"/>
            </w:pPr>
          </w:p>
          <w:p w14:paraId="17E12549" w14:textId="77777777" w:rsidR="00BF4D3F" w:rsidRDefault="00BF4D3F" w:rsidP="00574A99">
            <w:pPr>
              <w:spacing w:after="0"/>
            </w:pPr>
          </w:p>
        </w:tc>
        <w:tc>
          <w:tcPr>
            <w:tcW w:w="4223" w:type="dxa"/>
            <w:shd w:val="clear" w:color="auto" w:fill="auto"/>
          </w:tcPr>
          <w:p w14:paraId="336020FC" w14:textId="77777777" w:rsidR="00611006" w:rsidRDefault="00611006" w:rsidP="00574A99">
            <w:pPr>
              <w:spacing w:after="0"/>
            </w:pPr>
          </w:p>
        </w:tc>
      </w:tr>
      <w:tr w:rsidR="00611006" w14:paraId="661EA6EB" w14:textId="77777777" w:rsidTr="00A53E45">
        <w:tc>
          <w:tcPr>
            <w:tcW w:w="4847" w:type="dxa"/>
            <w:shd w:val="clear" w:color="auto" w:fill="auto"/>
          </w:tcPr>
          <w:p w14:paraId="2D087A99" w14:textId="77777777" w:rsidR="00611006" w:rsidRDefault="00611006" w:rsidP="00574A99">
            <w:pPr>
              <w:spacing w:after="0"/>
            </w:pPr>
            <w:r>
              <w:t>_____________________________</w:t>
            </w:r>
          </w:p>
        </w:tc>
        <w:tc>
          <w:tcPr>
            <w:tcW w:w="4223" w:type="dxa"/>
            <w:shd w:val="clear" w:color="auto" w:fill="auto"/>
          </w:tcPr>
          <w:p w14:paraId="3953FD06" w14:textId="77777777" w:rsidR="00611006" w:rsidRPr="00111AA3" w:rsidRDefault="00611006" w:rsidP="00574A99">
            <w:pPr>
              <w:spacing w:after="0"/>
              <w:rPr>
                <w:b/>
              </w:rPr>
            </w:pPr>
          </w:p>
        </w:tc>
      </w:tr>
      <w:tr w:rsidR="00611006" w14:paraId="7798AB04" w14:textId="77777777" w:rsidTr="00A53E45">
        <w:tc>
          <w:tcPr>
            <w:tcW w:w="4847" w:type="dxa"/>
            <w:shd w:val="clear" w:color="auto" w:fill="auto"/>
          </w:tcPr>
          <w:p w14:paraId="40F67A1C" w14:textId="546344B2" w:rsidR="00611006" w:rsidRDefault="00A53E45" w:rsidP="00574A99">
            <w:pPr>
              <w:spacing w:after="0"/>
            </w:pPr>
            <w:r w:rsidRPr="004912AC">
              <w:fldChar w:fldCharType="begin">
                <w:ffData>
                  <w:name w:val="Text75"/>
                  <w:enabled/>
                  <w:calcOnExit w:val="0"/>
                  <w:textInput/>
                </w:ffData>
              </w:fldChar>
            </w:r>
            <w:r w:rsidRPr="004912AC">
              <w:instrText xml:space="preserve"> FORMTEXT </w:instrText>
            </w:r>
            <w:r w:rsidRPr="004912AC">
              <w:fldChar w:fldCharType="separate"/>
            </w:r>
            <w:r w:rsidRPr="004912AC">
              <w:rPr>
                <w:noProof/>
              </w:rPr>
              <w:t> </w:t>
            </w:r>
            <w:r w:rsidRPr="004912AC">
              <w:rPr>
                <w:noProof/>
              </w:rPr>
              <w:t> </w:t>
            </w:r>
            <w:r w:rsidRPr="004912AC">
              <w:rPr>
                <w:noProof/>
              </w:rPr>
              <w:t> </w:t>
            </w:r>
            <w:r w:rsidRPr="004912AC">
              <w:rPr>
                <w:noProof/>
              </w:rPr>
              <w:t> </w:t>
            </w:r>
            <w:r w:rsidRPr="004912AC">
              <w:rPr>
                <w:noProof/>
              </w:rPr>
              <w:t> </w:t>
            </w:r>
            <w:r w:rsidRPr="004912AC">
              <w:fldChar w:fldCharType="end"/>
            </w:r>
          </w:p>
        </w:tc>
        <w:tc>
          <w:tcPr>
            <w:tcW w:w="4223" w:type="dxa"/>
            <w:shd w:val="clear" w:color="auto" w:fill="auto"/>
          </w:tcPr>
          <w:p w14:paraId="4AB75DDC" w14:textId="77777777" w:rsidR="00611006" w:rsidRDefault="00611006" w:rsidP="00574A99">
            <w:pPr>
              <w:spacing w:after="0"/>
            </w:pPr>
          </w:p>
        </w:tc>
      </w:tr>
      <w:tr w:rsidR="00611006" w14:paraId="637C7547" w14:textId="77777777" w:rsidTr="00A53E45">
        <w:tc>
          <w:tcPr>
            <w:tcW w:w="4847" w:type="dxa"/>
            <w:shd w:val="clear" w:color="auto" w:fill="auto"/>
          </w:tcPr>
          <w:p w14:paraId="36E5C073" w14:textId="1ED1814D" w:rsidR="00611006" w:rsidRDefault="00A53E45" w:rsidP="00574A99">
            <w:pPr>
              <w:spacing w:after="0"/>
            </w:pPr>
            <w:r w:rsidRPr="004912AC">
              <w:fldChar w:fldCharType="begin">
                <w:ffData>
                  <w:name w:val="Text75"/>
                  <w:enabled/>
                  <w:calcOnExit w:val="0"/>
                  <w:textInput/>
                </w:ffData>
              </w:fldChar>
            </w:r>
            <w:r w:rsidRPr="004912AC">
              <w:instrText xml:space="preserve"> FORMTEXT </w:instrText>
            </w:r>
            <w:r w:rsidRPr="004912AC">
              <w:fldChar w:fldCharType="separate"/>
            </w:r>
            <w:r w:rsidRPr="004912AC">
              <w:rPr>
                <w:noProof/>
              </w:rPr>
              <w:t> </w:t>
            </w:r>
            <w:r w:rsidRPr="004912AC">
              <w:rPr>
                <w:noProof/>
              </w:rPr>
              <w:t> </w:t>
            </w:r>
            <w:r w:rsidRPr="004912AC">
              <w:rPr>
                <w:noProof/>
              </w:rPr>
              <w:t> </w:t>
            </w:r>
            <w:r w:rsidRPr="004912AC">
              <w:rPr>
                <w:noProof/>
              </w:rPr>
              <w:t> </w:t>
            </w:r>
            <w:r w:rsidRPr="004912AC">
              <w:rPr>
                <w:noProof/>
              </w:rPr>
              <w:t> </w:t>
            </w:r>
            <w:r w:rsidRPr="004912AC">
              <w:fldChar w:fldCharType="end"/>
            </w:r>
          </w:p>
        </w:tc>
        <w:tc>
          <w:tcPr>
            <w:tcW w:w="4223" w:type="dxa"/>
            <w:shd w:val="clear" w:color="auto" w:fill="auto"/>
          </w:tcPr>
          <w:p w14:paraId="2714C954" w14:textId="77777777" w:rsidR="00611006" w:rsidRDefault="00611006" w:rsidP="00574A99">
            <w:pPr>
              <w:spacing w:after="0"/>
            </w:pPr>
          </w:p>
        </w:tc>
      </w:tr>
    </w:tbl>
    <w:p w14:paraId="38AC15DC" w14:textId="77777777" w:rsidR="00A25141" w:rsidRDefault="00A25141" w:rsidP="00A25141"/>
    <w:p w14:paraId="3CCF766F" w14:textId="77777777" w:rsidR="008F29D8" w:rsidRDefault="008F29D8" w:rsidP="00140AA9">
      <w:pPr>
        <w:rPr>
          <w:b/>
        </w:rPr>
      </w:pPr>
    </w:p>
    <w:p w14:paraId="7DFF4E2C" w14:textId="77777777" w:rsidR="008F29D8" w:rsidRDefault="008F29D8" w:rsidP="00140AA9">
      <w:pPr>
        <w:rPr>
          <w:b/>
        </w:rPr>
      </w:pPr>
    </w:p>
    <w:p w14:paraId="4666E39F" w14:textId="77777777" w:rsidR="008F29D8" w:rsidRDefault="008F29D8" w:rsidP="00140AA9">
      <w:pPr>
        <w:rPr>
          <w:b/>
        </w:rPr>
      </w:pPr>
    </w:p>
    <w:p w14:paraId="74372B7E" w14:textId="77777777" w:rsidR="008F29D8" w:rsidRDefault="008F29D8" w:rsidP="00140AA9">
      <w:pPr>
        <w:rPr>
          <w:b/>
        </w:rPr>
      </w:pPr>
    </w:p>
    <w:p w14:paraId="038C6DB9" w14:textId="77777777" w:rsidR="008F349B" w:rsidRPr="000E19F3" w:rsidRDefault="000E19F3" w:rsidP="000E19F3">
      <w:pPr>
        <w:pStyle w:val="Nadpis1"/>
        <w:rPr>
          <w:u w:val="single"/>
        </w:rPr>
      </w:pPr>
      <w:r>
        <w:br w:type="page"/>
      </w:r>
      <w:r w:rsidR="008F349B" w:rsidRPr="000E19F3">
        <w:rPr>
          <w:u w:val="single"/>
        </w:rPr>
        <w:lastRenderedPageBreak/>
        <w:t>příloha č. 1:</w:t>
      </w:r>
    </w:p>
    <w:p w14:paraId="3D5A09E1" w14:textId="77777777" w:rsidR="008F29D8" w:rsidRPr="008F349B" w:rsidRDefault="008F349B" w:rsidP="000E19F3">
      <w:pPr>
        <w:pStyle w:val="Nadpis1"/>
      </w:pPr>
      <w:r>
        <w:t>CENOV</w:t>
      </w:r>
      <w:r w:rsidR="00A25E6E">
        <w:t>é</w:t>
      </w:r>
      <w:r>
        <w:t xml:space="preserve"> UJEDNÁNÍ</w:t>
      </w:r>
    </w:p>
    <w:p w14:paraId="4239D501" w14:textId="77777777" w:rsidR="00A25E6E" w:rsidRPr="00C145F7" w:rsidRDefault="00925CD6" w:rsidP="00666A20">
      <w:pPr>
        <w:numPr>
          <w:ilvl w:val="0"/>
          <w:numId w:val="12"/>
        </w:numPr>
        <w:tabs>
          <w:tab w:val="clear" w:pos="360"/>
        </w:tabs>
        <w:ind w:left="426" w:hanging="426"/>
        <w:rPr>
          <w:rFonts w:cs="Segoe UI"/>
          <w:szCs w:val="18"/>
          <w:u w:val="single"/>
        </w:rPr>
      </w:pPr>
      <w:r w:rsidRPr="00C145F7">
        <w:rPr>
          <w:rFonts w:cs="Segoe UI"/>
          <w:szCs w:val="18"/>
          <w:u w:val="single"/>
        </w:rPr>
        <w:t>Cena</w:t>
      </w:r>
    </w:p>
    <w:p w14:paraId="3FAD6027" w14:textId="758BD805" w:rsidR="00A25E6E" w:rsidRPr="00C145F7" w:rsidRDefault="00925CD6" w:rsidP="00A25E6E">
      <w:pPr>
        <w:ind w:left="426"/>
        <w:rPr>
          <w:rFonts w:cs="Segoe UI"/>
          <w:szCs w:val="18"/>
          <w:u w:val="single"/>
        </w:rPr>
      </w:pPr>
      <w:r w:rsidRPr="00C145F7">
        <w:rPr>
          <w:rFonts w:cs="Segoe UI"/>
          <w:szCs w:val="18"/>
        </w:rPr>
        <w:t>Cena tepelné energie je tvořena v souladu se zákonem č. 526/1990 Sb., o cenách, ve znění pozdějších předpisů, s prováděcí vyhláškou č.  4</w:t>
      </w:r>
      <w:r w:rsidR="007B747D" w:rsidRPr="00C145F7">
        <w:rPr>
          <w:rFonts w:cs="Segoe UI"/>
          <w:szCs w:val="18"/>
        </w:rPr>
        <w:t>5</w:t>
      </w:r>
      <w:r w:rsidRPr="00C145F7">
        <w:rPr>
          <w:rFonts w:cs="Segoe UI"/>
          <w:szCs w:val="18"/>
        </w:rPr>
        <w:t xml:space="preserve">0/2009 Sb., ve znění pozdějších předpisů, a v souladu s platnými cenovými rozhodnutími Energetického regulačního úřadu. </w:t>
      </w:r>
      <w:bookmarkStart w:id="9" w:name="Priloha1_1_1"/>
      <w:bookmarkEnd w:id="9"/>
    </w:p>
    <w:p w14:paraId="794E9B5F" w14:textId="77777777" w:rsidR="00BF4D3F" w:rsidRPr="00C145F7" w:rsidRDefault="00A51080" w:rsidP="00A25E6E">
      <w:pPr>
        <w:ind w:left="426"/>
        <w:rPr>
          <w:rFonts w:cs="Segoe UI"/>
          <w:szCs w:val="18"/>
        </w:rPr>
      </w:pPr>
      <w:r w:rsidRPr="00C145F7">
        <w:rPr>
          <w:rFonts w:cs="Segoe UI"/>
          <w:szCs w:val="18"/>
        </w:rPr>
        <w:t xml:space="preserve">Cena dodané tepelné energie v Předávacím místě platná ode dne zahájení odběru Odběratelem je </w:t>
      </w:r>
    </w:p>
    <w:p w14:paraId="57AB783B" w14:textId="1B1DBBED" w:rsidR="00A25E6E" w:rsidRPr="00C145F7" w:rsidRDefault="00A3569C" w:rsidP="00A25E6E">
      <w:pPr>
        <w:ind w:left="426"/>
        <w:rPr>
          <w:rFonts w:cs="Segoe UI"/>
          <w:szCs w:val="18"/>
          <w:u w:val="single"/>
        </w:rPr>
      </w:pPr>
      <w:proofErr w:type="spellStart"/>
      <w:proofErr w:type="gramStart"/>
      <w:r w:rsidRPr="00A3569C">
        <w:rPr>
          <w:rFonts w:cs="Segoe UI"/>
          <w:b/>
          <w:szCs w:val="18"/>
          <w:highlight w:val="yellow"/>
        </w:rPr>
        <w:t>x,xx</w:t>
      </w:r>
      <w:proofErr w:type="spellEnd"/>
      <w:proofErr w:type="gramEnd"/>
      <w:r w:rsidR="00DB31EC" w:rsidRPr="00C145F7">
        <w:rPr>
          <w:rFonts w:cs="Segoe UI"/>
          <w:b/>
          <w:szCs w:val="18"/>
        </w:rPr>
        <w:t xml:space="preserve"> </w:t>
      </w:r>
      <w:r w:rsidR="00A51080" w:rsidRPr="00C145F7">
        <w:rPr>
          <w:rFonts w:cs="Segoe UI"/>
          <w:b/>
          <w:szCs w:val="18"/>
        </w:rPr>
        <w:t>Kč/GJ bez DPH</w:t>
      </w:r>
      <w:r w:rsidR="00B0351E" w:rsidRPr="00C145F7">
        <w:rPr>
          <w:rFonts w:cs="Segoe UI"/>
          <w:b/>
          <w:szCs w:val="18"/>
        </w:rPr>
        <w:t>, DPH</w:t>
      </w:r>
      <w:r w:rsidR="003144D0" w:rsidRPr="00C145F7">
        <w:rPr>
          <w:rFonts w:cs="Segoe UI"/>
          <w:b/>
          <w:szCs w:val="18"/>
        </w:rPr>
        <w:t xml:space="preserve"> (15%) </w:t>
      </w:r>
      <w:r w:rsidR="00440F35" w:rsidRPr="00C145F7">
        <w:rPr>
          <w:rFonts w:cs="Segoe UI"/>
          <w:b/>
          <w:szCs w:val="18"/>
        </w:rPr>
        <w:t>činí Kč</w:t>
      </w:r>
      <w:r w:rsidR="003144D0" w:rsidRPr="00C145F7">
        <w:rPr>
          <w:rFonts w:cs="Segoe UI"/>
          <w:b/>
          <w:szCs w:val="18"/>
        </w:rPr>
        <w:t xml:space="preserve"> </w:t>
      </w:r>
      <w:r w:rsidR="00B0351E" w:rsidRPr="00C145F7">
        <w:rPr>
          <w:rFonts w:cs="Segoe UI"/>
          <w:b/>
          <w:szCs w:val="18"/>
        </w:rPr>
        <w:t xml:space="preserve">cena dodané tepelné energie včetně DPH </w:t>
      </w:r>
      <w:r w:rsidR="00AB30B2" w:rsidRPr="00C145F7">
        <w:rPr>
          <w:rFonts w:cs="Segoe UI"/>
          <w:b/>
          <w:szCs w:val="18"/>
        </w:rPr>
        <w:t xml:space="preserve">činí </w:t>
      </w:r>
      <w:r w:rsidR="003144D0" w:rsidRPr="00C145F7">
        <w:rPr>
          <w:rFonts w:cs="Segoe UI"/>
          <w:b/>
          <w:szCs w:val="18"/>
        </w:rPr>
        <w:t>Kč</w:t>
      </w:r>
      <w:r w:rsidR="00925CD6" w:rsidRPr="00C145F7">
        <w:rPr>
          <w:rFonts w:cs="Segoe UI"/>
          <w:szCs w:val="18"/>
        </w:rPr>
        <w:t xml:space="preserve"> </w:t>
      </w:r>
    </w:p>
    <w:p w14:paraId="68305EDA" w14:textId="0BE7BBB6" w:rsidR="00840287" w:rsidRPr="00C145F7" w:rsidRDefault="00925CD6" w:rsidP="00A25E6E">
      <w:pPr>
        <w:ind w:left="426"/>
        <w:rPr>
          <w:rFonts w:cs="Segoe UI"/>
          <w:szCs w:val="18"/>
        </w:rPr>
      </w:pPr>
      <w:r w:rsidRPr="00C145F7">
        <w:rPr>
          <w:rFonts w:cs="Segoe UI"/>
          <w:szCs w:val="18"/>
        </w:rPr>
        <w:t xml:space="preserve">Cena tepelné energie vychází z ceny </w:t>
      </w:r>
      <w:r w:rsidRPr="00B93F0D">
        <w:rPr>
          <w:rFonts w:cs="Segoe UI"/>
          <w:szCs w:val="18"/>
        </w:rPr>
        <w:t xml:space="preserve">zemního plynu </w:t>
      </w:r>
      <w:r w:rsidR="00A3569C" w:rsidRPr="00A3569C">
        <w:rPr>
          <w:rFonts w:cs="Segoe UI"/>
          <w:color w:val="FF0000"/>
          <w:szCs w:val="18"/>
        </w:rPr>
        <w:t>8,50</w:t>
      </w:r>
      <w:r w:rsidR="00C20E6C" w:rsidRPr="00A3569C">
        <w:rPr>
          <w:rFonts w:cs="Segoe UI"/>
          <w:color w:val="FF0000"/>
          <w:szCs w:val="18"/>
        </w:rPr>
        <w:t xml:space="preserve"> </w:t>
      </w:r>
      <w:r w:rsidRPr="00B93F0D">
        <w:rPr>
          <w:rFonts w:cs="Segoe UI"/>
          <w:szCs w:val="18"/>
        </w:rPr>
        <w:t>Kč/m</w:t>
      </w:r>
      <w:r w:rsidRPr="00B93F0D">
        <w:rPr>
          <w:rFonts w:cs="Segoe UI"/>
          <w:szCs w:val="18"/>
          <w:vertAlign w:val="superscript"/>
        </w:rPr>
        <w:t>3</w:t>
      </w:r>
      <w:r w:rsidRPr="00B93F0D">
        <w:rPr>
          <w:rFonts w:cs="Segoe UI"/>
          <w:szCs w:val="18"/>
        </w:rPr>
        <w:t xml:space="preserve"> bez DPH. </w:t>
      </w:r>
    </w:p>
    <w:p w14:paraId="22B3AEDC" w14:textId="77777777" w:rsidR="00925CD6" w:rsidRPr="00C145F7" w:rsidRDefault="00925CD6" w:rsidP="00A25E6E">
      <w:pPr>
        <w:ind w:left="426"/>
        <w:rPr>
          <w:rFonts w:cs="Segoe UI"/>
          <w:szCs w:val="18"/>
        </w:rPr>
      </w:pPr>
      <w:r w:rsidRPr="00C145F7">
        <w:rPr>
          <w:rFonts w:cs="Segoe UI"/>
          <w:szCs w:val="18"/>
        </w:rPr>
        <w:t>V případě změny ceny zemního plynu v průběhu roku bude cena úměrně tomu změněna dle kalkulačního vzorce:</w:t>
      </w:r>
    </w:p>
    <w:p w14:paraId="6247E358" w14:textId="77777777" w:rsidR="00D02B08" w:rsidRPr="00C145F7" w:rsidRDefault="00D02B08" w:rsidP="00A25E6E">
      <w:pPr>
        <w:ind w:left="426"/>
        <w:rPr>
          <w:rFonts w:cs="Segoe UI"/>
          <w:szCs w:val="18"/>
          <w:u w:val="single"/>
        </w:rPr>
      </w:pPr>
    </w:p>
    <w:tbl>
      <w:tblPr>
        <w:tblW w:w="5180" w:type="dxa"/>
        <w:jc w:val="center"/>
        <w:tblCellMar>
          <w:left w:w="70" w:type="dxa"/>
          <w:right w:w="70" w:type="dxa"/>
        </w:tblCellMar>
        <w:tblLook w:val="04A0" w:firstRow="1" w:lastRow="0" w:firstColumn="1" w:lastColumn="0" w:noHBand="0" w:noVBand="1"/>
      </w:tblPr>
      <w:tblGrid>
        <w:gridCol w:w="1340"/>
        <w:gridCol w:w="960"/>
        <w:gridCol w:w="960"/>
        <w:gridCol w:w="960"/>
        <w:gridCol w:w="960"/>
      </w:tblGrid>
      <w:tr w:rsidR="00D02B08" w:rsidRPr="00C145F7" w14:paraId="7FA72950" w14:textId="77777777" w:rsidTr="0006731F">
        <w:trPr>
          <w:trHeight w:val="375"/>
          <w:jc w:val="center"/>
        </w:trPr>
        <w:tc>
          <w:tcPr>
            <w:tcW w:w="1340" w:type="dxa"/>
            <w:vMerge w:val="restart"/>
            <w:tcBorders>
              <w:top w:val="single" w:sz="8" w:space="0" w:color="auto"/>
              <w:left w:val="single" w:sz="8" w:space="0" w:color="auto"/>
              <w:bottom w:val="single" w:sz="8" w:space="0" w:color="000000"/>
              <w:right w:val="nil"/>
            </w:tcBorders>
            <w:shd w:val="clear" w:color="auto" w:fill="auto"/>
            <w:vAlign w:val="center"/>
            <w:hideMark/>
          </w:tcPr>
          <w:p w14:paraId="7AE9945C" w14:textId="77777777" w:rsidR="00D02B08" w:rsidRPr="00C145F7" w:rsidRDefault="00D02B08" w:rsidP="0006731F">
            <w:pPr>
              <w:spacing w:after="0"/>
              <w:jc w:val="center"/>
              <w:rPr>
                <w:rFonts w:eastAsia="Times New Roman" w:cs="Segoe UI"/>
                <w:b/>
                <w:bCs/>
                <w:color w:val="000000"/>
                <w:szCs w:val="18"/>
                <w:lang w:eastAsia="cs-CZ"/>
              </w:rPr>
            </w:pPr>
            <w:proofErr w:type="spellStart"/>
            <w:r w:rsidRPr="00C145F7">
              <w:rPr>
                <w:rFonts w:eastAsia="Times New Roman" w:cs="Segoe UI"/>
                <w:b/>
                <w:bCs/>
                <w:color w:val="000000"/>
                <w:szCs w:val="18"/>
                <w:lang w:eastAsia="cs-CZ"/>
              </w:rPr>
              <w:t>C</w:t>
            </w:r>
            <w:r w:rsidRPr="00C145F7">
              <w:rPr>
                <w:rFonts w:eastAsia="Times New Roman" w:cs="Segoe UI"/>
                <w:b/>
                <w:bCs/>
                <w:color w:val="000000"/>
                <w:szCs w:val="18"/>
                <w:vertAlign w:val="subscript"/>
                <w:lang w:eastAsia="cs-CZ"/>
              </w:rPr>
              <w:t>tn</w:t>
            </w:r>
            <w:proofErr w:type="spellEnd"/>
            <w:r w:rsidRPr="00C145F7">
              <w:rPr>
                <w:rFonts w:eastAsia="Times New Roman" w:cs="Segoe UI"/>
                <w:b/>
                <w:bCs/>
                <w:color w:val="000000"/>
                <w:szCs w:val="18"/>
                <w:lang w:eastAsia="cs-CZ"/>
              </w:rPr>
              <w:t xml:space="preserve"> =</w:t>
            </w:r>
          </w:p>
        </w:tc>
        <w:tc>
          <w:tcPr>
            <w:tcW w:w="960" w:type="dxa"/>
            <w:tcBorders>
              <w:top w:val="single" w:sz="8" w:space="0" w:color="auto"/>
              <w:left w:val="nil"/>
              <w:bottom w:val="single" w:sz="8" w:space="0" w:color="auto"/>
              <w:right w:val="nil"/>
            </w:tcBorders>
            <w:shd w:val="clear" w:color="auto" w:fill="auto"/>
            <w:vAlign w:val="center"/>
            <w:hideMark/>
          </w:tcPr>
          <w:p w14:paraId="6DED951D" w14:textId="77777777" w:rsidR="00D02B08" w:rsidRPr="00C145F7" w:rsidRDefault="00D02B08" w:rsidP="0006731F">
            <w:pPr>
              <w:spacing w:after="0"/>
              <w:jc w:val="center"/>
              <w:rPr>
                <w:rFonts w:eastAsia="Times New Roman" w:cs="Segoe UI"/>
                <w:b/>
                <w:bCs/>
                <w:color w:val="000000"/>
                <w:szCs w:val="18"/>
                <w:lang w:eastAsia="cs-CZ"/>
              </w:rPr>
            </w:pPr>
            <w:proofErr w:type="spellStart"/>
            <w:r w:rsidRPr="00C145F7">
              <w:rPr>
                <w:rFonts w:eastAsia="Times New Roman" w:cs="Segoe UI"/>
                <w:b/>
                <w:bCs/>
                <w:color w:val="000000"/>
                <w:szCs w:val="18"/>
                <w:lang w:eastAsia="cs-CZ"/>
              </w:rPr>
              <w:t>C</w:t>
            </w:r>
            <w:r w:rsidRPr="00C145F7">
              <w:rPr>
                <w:rFonts w:eastAsia="Times New Roman" w:cs="Segoe UI"/>
                <w:b/>
                <w:bCs/>
                <w:color w:val="000000"/>
                <w:szCs w:val="18"/>
                <w:vertAlign w:val="subscript"/>
                <w:lang w:eastAsia="cs-CZ"/>
              </w:rPr>
              <w:t>pn</w:t>
            </w:r>
            <w:proofErr w:type="spellEnd"/>
            <w:r w:rsidRPr="00C145F7">
              <w:rPr>
                <w:rFonts w:eastAsia="Times New Roman" w:cs="Segoe UI"/>
                <w:b/>
                <w:bCs/>
                <w:color w:val="000000"/>
                <w:szCs w:val="18"/>
                <w:vertAlign w:val="subscript"/>
                <w:lang w:eastAsia="cs-CZ"/>
              </w:rPr>
              <w:t xml:space="preserve"> </w:t>
            </w:r>
          </w:p>
        </w:tc>
        <w:tc>
          <w:tcPr>
            <w:tcW w:w="960" w:type="dxa"/>
            <w:vMerge w:val="restart"/>
            <w:tcBorders>
              <w:top w:val="single" w:sz="8" w:space="0" w:color="auto"/>
              <w:left w:val="nil"/>
              <w:bottom w:val="single" w:sz="8" w:space="0" w:color="000000"/>
              <w:right w:val="nil"/>
            </w:tcBorders>
            <w:shd w:val="clear" w:color="auto" w:fill="auto"/>
            <w:vAlign w:val="center"/>
            <w:hideMark/>
          </w:tcPr>
          <w:p w14:paraId="4E7E77F0" w14:textId="079B90FB" w:rsidR="00D02B08" w:rsidRPr="001B55BE" w:rsidRDefault="00D02B08" w:rsidP="0006731F">
            <w:pPr>
              <w:spacing w:after="0"/>
              <w:jc w:val="center"/>
              <w:rPr>
                <w:rFonts w:eastAsia="Times New Roman" w:cs="Segoe UI"/>
                <w:b/>
                <w:bCs/>
                <w:color w:val="000000"/>
                <w:szCs w:val="18"/>
                <w:lang w:eastAsia="cs-CZ"/>
              </w:rPr>
            </w:pPr>
            <w:r w:rsidRPr="00C145F7">
              <w:rPr>
                <w:rFonts w:eastAsia="Times New Roman" w:cs="Segoe UI"/>
                <w:b/>
                <w:bCs/>
                <w:color w:val="000000"/>
                <w:szCs w:val="18"/>
                <w:lang w:eastAsia="cs-CZ"/>
              </w:rPr>
              <w:t xml:space="preserve">+    </w:t>
            </w:r>
            <w:proofErr w:type="spellStart"/>
            <w:r w:rsidRPr="00C145F7">
              <w:rPr>
                <w:rFonts w:eastAsia="Times New Roman" w:cs="Segoe UI"/>
                <w:b/>
                <w:bCs/>
                <w:color w:val="000000"/>
                <w:szCs w:val="18"/>
                <w:lang w:eastAsia="cs-CZ"/>
              </w:rPr>
              <w:t>PG</w:t>
            </w:r>
            <w:r w:rsidRPr="00C145F7">
              <w:rPr>
                <w:rFonts w:eastAsia="Times New Roman" w:cs="Segoe UI"/>
                <w:b/>
                <w:bCs/>
                <w:color w:val="000000"/>
                <w:szCs w:val="18"/>
                <w:vertAlign w:val="subscript"/>
                <w:lang w:eastAsia="cs-CZ"/>
              </w:rPr>
              <w:t>n</w:t>
            </w:r>
            <w:proofErr w:type="spellEnd"/>
            <w:r w:rsidR="00631335">
              <w:rPr>
                <w:rFonts w:eastAsia="Times New Roman" w:cs="Segoe UI"/>
                <w:b/>
                <w:bCs/>
                <w:color w:val="000000"/>
                <w:szCs w:val="18"/>
                <w:vertAlign w:val="subscript"/>
                <w:lang w:eastAsia="cs-CZ"/>
              </w:rPr>
              <w:t xml:space="preserve"> </w:t>
            </w:r>
            <w:r w:rsidR="001B55BE">
              <w:rPr>
                <w:rFonts w:eastAsia="Times New Roman" w:cs="Segoe UI"/>
                <w:b/>
                <w:bCs/>
                <w:color w:val="000000"/>
                <w:szCs w:val="18"/>
                <w:lang w:eastAsia="cs-CZ"/>
              </w:rPr>
              <w:t>x</w:t>
            </w:r>
          </w:p>
        </w:tc>
        <w:tc>
          <w:tcPr>
            <w:tcW w:w="960" w:type="dxa"/>
            <w:tcBorders>
              <w:top w:val="single" w:sz="8" w:space="0" w:color="auto"/>
              <w:left w:val="nil"/>
              <w:bottom w:val="single" w:sz="8" w:space="0" w:color="auto"/>
              <w:right w:val="nil"/>
            </w:tcBorders>
            <w:shd w:val="clear" w:color="auto" w:fill="auto"/>
            <w:vAlign w:val="center"/>
            <w:hideMark/>
          </w:tcPr>
          <w:p w14:paraId="64CC1C82" w14:textId="77777777" w:rsidR="00D02B08" w:rsidRPr="00C145F7" w:rsidRDefault="00D02B08" w:rsidP="0006731F">
            <w:pPr>
              <w:spacing w:after="0"/>
              <w:jc w:val="center"/>
              <w:rPr>
                <w:rFonts w:eastAsia="Times New Roman" w:cs="Segoe UI"/>
                <w:b/>
                <w:bCs/>
                <w:color w:val="000000"/>
                <w:szCs w:val="18"/>
                <w:lang w:eastAsia="cs-CZ"/>
              </w:rPr>
            </w:pPr>
            <w:r w:rsidRPr="00C145F7">
              <w:rPr>
                <w:rFonts w:eastAsia="Times New Roman" w:cs="Segoe UI"/>
                <w:b/>
                <w:bCs/>
                <w:color w:val="000000"/>
                <w:szCs w:val="18"/>
                <w:lang w:eastAsia="cs-CZ"/>
              </w:rPr>
              <w:t>TE</w:t>
            </w:r>
            <w:r w:rsidRPr="00C145F7">
              <w:rPr>
                <w:rFonts w:eastAsia="Times New Roman" w:cs="Segoe UI"/>
                <w:b/>
                <w:bCs/>
                <w:color w:val="000000"/>
                <w:szCs w:val="18"/>
                <w:vertAlign w:val="subscript"/>
                <w:lang w:eastAsia="cs-CZ"/>
              </w:rPr>
              <w:t>0</w:t>
            </w:r>
          </w:p>
        </w:tc>
        <w:tc>
          <w:tcPr>
            <w:tcW w:w="960" w:type="dxa"/>
            <w:vMerge w:val="restart"/>
            <w:tcBorders>
              <w:top w:val="single" w:sz="8" w:space="0" w:color="auto"/>
              <w:left w:val="nil"/>
              <w:bottom w:val="single" w:sz="8" w:space="0" w:color="000000"/>
              <w:right w:val="single" w:sz="8" w:space="0" w:color="auto"/>
            </w:tcBorders>
            <w:shd w:val="clear" w:color="auto" w:fill="auto"/>
            <w:vAlign w:val="center"/>
            <w:hideMark/>
          </w:tcPr>
          <w:p w14:paraId="056E9DC4" w14:textId="77777777" w:rsidR="00D02B08" w:rsidRPr="00C145F7" w:rsidRDefault="00D02B08" w:rsidP="0006731F">
            <w:pPr>
              <w:spacing w:after="0"/>
              <w:jc w:val="center"/>
              <w:rPr>
                <w:rFonts w:eastAsia="Times New Roman" w:cs="Segoe UI"/>
                <w:b/>
                <w:bCs/>
                <w:color w:val="000000"/>
                <w:szCs w:val="18"/>
                <w:lang w:eastAsia="cs-CZ"/>
              </w:rPr>
            </w:pPr>
            <w:r w:rsidRPr="00C145F7">
              <w:rPr>
                <w:rFonts w:eastAsia="Times New Roman" w:cs="Segoe UI"/>
                <w:b/>
                <w:bCs/>
                <w:color w:val="000000"/>
                <w:szCs w:val="18"/>
                <w:lang w:eastAsia="cs-CZ"/>
              </w:rPr>
              <w:t>[Kč/GJ bez DPH]</w:t>
            </w:r>
          </w:p>
        </w:tc>
      </w:tr>
      <w:tr w:rsidR="00D02B08" w:rsidRPr="00C145F7" w14:paraId="73C8B859" w14:textId="77777777" w:rsidTr="0006731F">
        <w:trPr>
          <w:trHeight w:val="375"/>
          <w:jc w:val="center"/>
        </w:trPr>
        <w:tc>
          <w:tcPr>
            <w:tcW w:w="1340" w:type="dxa"/>
            <w:vMerge/>
            <w:tcBorders>
              <w:top w:val="single" w:sz="8" w:space="0" w:color="auto"/>
              <w:left w:val="single" w:sz="8" w:space="0" w:color="auto"/>
              <w:bottom w:val="single" w:sz="8" w:space="0" w:color="000000"/>
              <w:right w:val="nil"/>
            </w:tcBorders>
            <w:vAlign w:val="center"/>
            <w:hideMark/>
          </w:tcPr>
          <w:p w14:paraId="4AE8DC58" w14:textId="77777777" w:rsidR="00D02B08" w:rsidRPr="00C145F7" w:rsidRDefault="00D02B08" w:rsidP="0006731F">
            <w:pPr>
              <w:spacing w:after="0"/>
              <w:jc w:val="left"/>
              <w:rPr>
                <w:rFonts w:eastAsia="Times New Roman" w:cs="Segoe UI"/>
                <w:b/>
                <w:bCs/>
                <w:color w:val="000000"/>
                <w:szCs w:val="18"/>
                <w:lang w:eastAsia="cs-CZ"/>
              </w:rPr>
            </w:pPr>
          </w:p>
        </w:tc>
        <w:tc>
          <w:tcPr>
            <w:tcW w:w="960" w:type="dxa"/>
            <w:tcBorders>
              <w:top w:val="nil"/>
              <w:left w:val="nil"/>
              <w:bottom w:val="single" w:sz="8" w:space="0" w:color="auto"/>
              <w:right w:val="nil"/>
            </w:tcBorders>
            <w:shd w:val="clear" w:color="auto" w:fill="auto"/>
            <w:vAlign w:val="center"/>
            <w:hideMark/>
          </w:tcPr>
          <w:p w14:paraId="625A0697" w14:textId="6F19DFCF" w:rsidR="00D02B08" w:rsidRPr="00C145F7" w:rsidRDefault="00D02B08" w:rsidP="0006731F">
            <w:pPr>
              <w:spacing w:after="0"/>
              <w:rPr>
                <w:rFonts w:eastAsia="Times New Roman" w:cs="Segoe UI"/>
                <w:b/>
                <w:bCs/>
                <w:color w:val="000000"/>
                <w:szCs w:val="18"/>
                <w:lang w:eastAsia="cs-CZ"/>
              </w:rPr>
            </w:pPr>
            <w:bookmarkStart w:id="10" w:name="RANGE!C17"/>
            <w:r w:rsidRPr="00C145F7">
              <w:rPr>
                <w:rFonts w:eastAsia="Times New Roman" w:cs="Segoe UI"/>
                <w:b/>
                <w:bCs/>
                <w:color w:val="000000"/>
                <w:szCs w:val="18"/>
                <w:lang w:eastAsia="cs-CZ"/>
              </w:rPr>
              <w:t xml:space="preserve">η </w:t>
            </w:r>
            <w:proofErr w:type="spellStart"/>
            <w:r w:rsidR="001B55BE">
              <w:rPr>
                <w:rFonts w:eastAsia="Times New Roman" w:cs="Segoe UI"/>
                <w:color w:val="000000"/>
                <w:szCs w:val="18"/>
                <w:lang w:eastAsia="cs-CZ"/>
              </w:rPr>
              <w:t>x</w:t>
            </w:r>
            <w:r w:rsidRPr="00C145F7">
              <w:rPr>
                <w:rFonts w:eastAsia="Times New Roman" w:cs="Segoe UI"/>
                <w:b/>
                <w:bCs/>
                <w:color w:val="000000"/>
                <w:szCs w:val="18"/>
                <w:lang w:eastAsia="cs-CZ"/>
              </w:rPr>
              <w:t>Q</w:t>
            </w:r>
            <w:r w:rsidRPr="00C145F7">
              <w:rPr>
                <w:rFonts w:eastAsia="Times New Roman" w:cs="Segoe UI"/>
                <w:b/>
                <w:bCs/>
                <w:color w:val="000000"/>
                <w:szCs w:val="18"/>
                <w:vertAlign w:val="subscript"/>
                <w:lang w:eastAsia="cs-CZ"/>
              </w:rPr>
              <w:t>i</w:t>
            </w:r>
            <w:bookmarkEnd w:id="10"/>
            <w:proofErr w:type="spellEnd"/>
          </w:p>
        </w:tc>
        <w:tc>
          <w:tcPr>
            <w:tcW w:w="960" w:type="dxa"/>
            <w:vMerge/>
            <w:tcBorders>
              <w:top w:val="single" w:sz="8" w:space="0" w:color="auto"/>
              <w:left w:val="nil"/>
              <w:bottom w:val="single" w:sz="8" w:space="0" w:color="000000"/>
              <w:right w:val="nil"/>
            </w:tcBorders>
            <w:vAlign w:val="center"/>
            <w:hideMark/>
          </w:tcPr>
          <w:p w14:paraId="32BBBAE7" w14:textId="77777777" w:rsidR="00D02B08" w:rsidRPr="00C145F7" w:rsidRDefault="00D02B08" w:rsidP="0006731F">
            <w:pPr>
              <w:spacing w:after="0"/>
              <w:jc w:val="left"/>
              <w:rPr>
                <w:rFonts w:eastAsia="Times New Roman" w:cs="Segoe UI"/>
                <w:b/>
                <w:bCs/>
                <w:color w:val="000000"/>
                <w:szCs w:val="18"/>
                <w:lang w:eastAsia="cs-CZ"/>
              </w:rPr>
            </w:pPr>
          </w:p>
        </w:tc>
        <w:tc>
          <w:tcPr>
            <w:tcW w:w="960" w:type="dxa"/>
            <w:tcBorders>
              <w:top w:val="nil"/>
              <w:left w:val="nil"/>
              <w:bottom w:val="single" w:sz="8" w:space="0" w:color="auto"/>
              <w:right w:val="nil"/>
            </w:tcBorders>
            <w:shd w:val="clear" w:color="auto" w:fill="auto"/>
            <w:vAlign w:val="center"/>
            <w:hideMark/>
          </w:tcPr>
          <w:p w14:paraId="66FE06E8" w14:textId="77777777" w:rsidR="00D02B08" w:rsidRPr="00C145F7" w:rsidRDefault="00D02B08" w:rsidP="0006731F">
            <w:pPr>
              <w:spacing w:after="0"/>
              <w:jc w:val="left"/>
              <w:rPr>
                <w:rFonts w:eastAsia="Times New Roman" w:cs="Segoe UI"/>
                <w:b/>
                <w:bCs/>
                <w:color w:val="000000"/>
                <w:szCs w:val="18"/>
                <w:lang w:eastAsia="cs-CZ"/>
              </w:rPr>
            </w:pPr>
            <w:r w:rsidRPr="00C145F7">
              <w:rPr>
                <w:rFonts w:eastAsia="Times New Roman" w:cs="Segoe UI"/>
                <w:b/>
                <w:bCs/>
                <w:color w:val="000000"/>
                <w:szCs w:val="18"/>
                <w:lang w:eastAsia="cs-CZ"/>
              </w:rPr>
              <w:t xml:space="preserve">     TE</w:t>
            </w:r>
            <w:r w:rsidRPr="00C145F7">
              <w:rPr>
                <w:rFonts w:eastAsia="Times New Roman" w:cs="Segoe UI"/>
                <w:b/>
                <w:bCs/>
                <w:color w:val="000000"/>
                <w:szCs w:val="18"/>
                <w:vertAlign w:val="subscript"/>
                <w:lang w:eastAsia="cs-CZ"/>
              </w:rPr>
              <w:t>S</w:t>
            </w:r>
          </w:p>
        </w:tc>
        <w:tc>
          <w:tcPr>
            <w:tcW w:w="960" w:type="dxa"/>
            <w:vMerge/>
            <w:tcBorders>
              <w:top w:val="single" w:sz="8" w:space="0" w:color="auto"/>
              <w:left w:val="nil"/>
              <w:bottom w:val="single" w:sz="8" w:space="0" w:color="000000"/>
              <w:right w:val="single" w:sz="8" w:space="0" w:color="auto"/>
            </w:tcBorders>
            <w:vAlign w:val="center"/>
            <w:hideMark/>
          </w:tcPr>
          <w:p w14:paraId="3A5BEE10" w14:textId="77777777" w:rsidR="00D02B08" w:rsidRPr="00C145F7" w:rsidRDefault="00D02B08" w:rsidP="0006731F">
            <w:pPr>
              <w:spacing w:after="0"/>
              <w:jc w:val="left"/>
              <w:rPr>
                <w:rFonts w:eastAsia="Times New Roman" w:cs="Segoe UI"/>
                <w:b/>
                <w:bCs/>
                <w:color w:val="000000"/>
                <w:szCs w:val="18"/>
                <w:lang w:eastAsia="cs-CZ"/>
              </w:rPr>
            </w:pPr>
          </w:p>
        </w:tc>
      </w:tr>
    </w:tbl>
    <w:p w14:paraId="765514AE" w14:textId="77777777" w:rsidR="00D02B08" w:rsidRPr="00C145F7" w:rsidRDefault="00D02B08" w:rsidP="00A25E6E">
      <w:pPr>
        <w:ind w:left="426"/>
        <w:rPr>
          <w:rFonts w:cs="Segoe UI"/>
          <w:szCs w:val="18"/>
          <w:u w:val="single"/>
        </w:rPr>
      </w:pPr>
    </w:p>
    <w:p w14:paraId="39075C36" w14:textId="28D9FA80" w:rsidR="00D02B08" w:rsidRPr="00C145F7" w:rsidRDefault="00EF3E71" w:rsidP="00D02B08">
      <w:pPr>
        <w:pStyle w:val="Bezmezer"/>
        <w:ind w:left="709" w:hanging="709"/>
        <w:rPr>
          <w:rFonts w:ascii="Segoe UI" w:hAnsi="Segoe UI" w:cs="Segoe UI"/>
          <w:sz w:val="18"/>
          <w:szCs w:val="18"/>
        </w:rPr>
      </w:pPr>
      <m:oMath>
        <m:r>
          <w:rPr>
            <w:rFonts w:ascii="Cambria Math" w:hAnsi="Cambria Math" w:cs="Segoe UI"/>
            <w:sz w:val="18"/>
            <w:szCs w:val="18"/>
          </w:rPr>
          <m:t xml:space="preserve">η </m:t>
        </m:r>
      </m:oMath>
      <w:r w:rsidR="00D02B08" w:rsidRPr="00C145F7">
        <w:rPr>
          <w:rFonts w:ascii="Segoe UI" w:hAnsi="Segoe UI" w:cs="Segoe UI"/>
          <w:sz w:val="18"/>
          <w:szCs w:val="18"/>
        </w:rPr>
        <w:tab/>
        <w:t>průměrná roční účinnost stávajícího zdroje vztažená k výhřevnosti paliva (95 %) – konstantní koeficient do</w:t>
      </w:r>
      <w:r w:rsidR="00D02B08" w:rsidRPr="00C145F7">
        <w:rPr>
          <w:rFonts w:ascii="Segoe UI" w:hAnsi="Segoe UI" w:cs="Segoe UI"/>
          <w:sz w:val="18"/>
          <w:szCs w:val="18"/>
        </w:rPr>
        <w:tab/>
        <w:t>kalkulačního vzorce = 0,95</w:t>
      </w:r>
      <w:r w:rsidR="00844106">
        <w:rPr>
          <w:rFonts w:ascii="Segoe UI" w:hAnsi="Segoe UI" w:cs="Segoe UI"/>
          <w:sz w:val="18"/>
          <w:szCs w:val="18"/>
        </w:rPr>
        <w:t xml:space="preserve"> </w:t>
      </w:r>
      <w:r w:rsidR="00844106" w:rsidRPr="00844106">
        <w:rPr>
          <w:rFonts w:ascii="Segoe UI" w:hAnsi="Segoe UI" w:cs="Segoe UI"/>
          <w:i/>
          <w:sz w:val="18"/>
          <w:szCs w:val="18"/>
          <w:highlight w:val="yellow"/>
        </w:rPr>
        <w:t>(stanoveno zadavatelem)</w:t>
      </w:r>
    </w:p>
    <w:p w14:paraId="6A6946FA" w14:textId="413BBAE2" w:rsidR="00D02B08" w:rsidRPr="00C145F7" w:rsidRDefault="00A3569C" w:rsidP="00D02B08">
      <w:pPr>
        <w:pStyle w:val="Bezmezer"/>
        <w:rPr>
          <w:rFonts w:ascii="Segoe UI" w:hAnsi="Segoe UI" w:cs="Segoe UI"/>
          <w:sz w:val="18"/>
          <w:szCs w:val="18"/>
        </w:rPr>
      </w:pPr>
      <m:oMath>
        <m:sSub>
          <m:sSubPr>
            <m:ctrlPr>
              <w:rPr>
                <w:rFonts w:ascii="Cambria Math" w:hAnsi="Cambria Math" w:cs="Segoe UI"/>
                <w:sz w:val="18"/>
                <w:szCs w:val="18"/>
              </w:rPr>
            </m:ctrlPr>
          </m:sSubPr>
          <m:e>
            <m:r>
              <w:rPr>
                <w:rFonts w:ascii="Cambria Math" w:hAnsi="Cambria Math" w:cs="Segoe UI"/>
                <w:sz w:val="18"/>
                <w:szCs w:val="18"/>
              </w:rPr>
              <m:t>Ct</m:t>
            </m:r>
          </m:e>
          <m:sub>
            <m:r>
              <w:rPr>
                <w:rFonts w:ascii="Cambria Math" w:hAnsi="Cambria Math" w:cs="Segoe UI"/>
                <w:sz w:val="18"/>
                <w:szCs w:val="18"/>
              </w:rPr>
              <m:t>n</m:t>
            </m:r>
          </m:sub>
        </m:sSub>
        <m:r>
          <w:rPr>
            <w:rFonts w:ascii="Cambria Math" w:hAnsi="Cambria Math" w:cs="Segoe UI"/>
            <w:sz w:val="18"/>
            <w:szCs w:val="18"/>
          </w:rPr>
          <m:t xml:space="preserve"> </m:t>
        </m:r>
      </m:oMath>
      <w:r w:rsidR="00D02B08" w:rsidRPr="00C145F7">
        <w:rPr>
          <w:rFonts w:ascii="Segoe UI" w:hAnsi="Segoe UI" w:cs="Segoe UI"/>
          <w:sz w:val="18"/>
          <w:szCs w:val="18"/>
        </w:rPr>
        <w:tab/>
        <w:t>cena tepla (Kč/GJ) v n-</w:t>
      </w:r>
      <w:proofErr w:type="spellStart"/>
      <w:r w:rsidR="00D02B08" w:rsidRPr="00C145F7">
        <w:rPr>
          <w:rFonts w:ascii="Segoe UI" w:hAnsi="Segoe UI" w:cs="Segoe UI"/>
          <w:sz w:val="18"/>
          <w:szCs w:val="18"/>
        </w:rPr>
        <w:t>tém</w:t>
      </w:r>
      <w:proofErr w:type="spellEnd"/>
      <w:r w:rsidR="00D02B08" w:rsidRPr="00C145F7">
        <w:rPr>
          <w:rFonts w:ascii="Segoe UI" w:hAnsi="Segoe UI" w:cs="Segoe UI"/>
          <w:sz w:val="18"/>
          <w:szCs w:val="18"/>
        </w:rPr>
        <w:t xml:space="preserve"> měsíci bez DPH</w:t>
      </w:r>
      <w:r w:rsidR="00844106">
        <w:rPr>
          <w:rFonts w:ascii="Segoe UI" w:hAnsi="Segoe UI" w:cs="Segoe UI"/>
          <w:sz w:val="18"/>
          <w:szCs w:val="18"/>
        </w:rPr>
        <w:t xml:space="preserve"> </w:t>
      </w:r>
      <w:r w:rsidR="00844106" w:rsidRPr="00844106">
        <w:rPr>
          <w:rFonts w:ascii="Segoe UI" w:hAnsi="Segoe UI" w:cs="Segoe UI"/>
          <w:i/>
          <w:sz w:val="18"/>
          <w:szCs w:val="18"/>
          <w:highlight w:val="yellow"/>
        </w:rPr>
        <w:t>(bude předmětem hodnocení)</w:t>
      </w:r>
    </w:p>
    <w:p w14:paraId="63D4C9F9" w14:textId="43B27ECC" w:rsidR="00D02B08" w:rsidRPr="00C145F7" w:rsidRDefault="00A3569C" w:rsidP="00D02B08">
      <w:pPr>
        <w:pStyle w:val="Bezmezer"/>
        <w:rPr>
          <w:rFonts w:ascii="Segoe UI" w:hAnsi="Segoe UI" w:cs="Segoe UI"/>
          <w:sz w:val="18"/>
          <w:szCs w:val="18"/>
        </w:rPr>
      </w:pPr>
      <m:oMath>
        <m:sSub>
          <m:sSubPr>
            <m:ctrlPr>
              <w:rPr>
                <w:rFonts w:ascii="Cambria Math" w:hAnsi="Cambria Math" w:cs="Segoe UI"/>
                <w:sz w:val="18"/>
                <w:szCs w:val="18"/>
              </w:rPr>
            </m:ctrlPr>
          </m:sSubPr>
          <m:e>
            <m:r>
              <w:rPr>
                <w:rFonts w:ascii="Cambria Math" w:hAnsi="Cambria Math" w:cs="Segoe UI"/>
                <w:sz w:val="18"/>
                <w:szCs w:val="18"/>
              </w:rPr>
              <m:t>Q</m:t>
            </m:r>
          </m:e>
          <m:sub>
            <m:r>
              <w:rPr>
                <w:rFonts w:ascii="Cambria Math" w:hAnsi="Cambria Math" w:cs="Segoe UI"/>
                <w:sz w:val="18"/>
                <w:szCs w:val="18"/>
              </w:rPr>
              <m:t>i</m:t>
            </m:r>
          </m:sub>
        </m:sSub>
      </m:oMath>
      <w:r w:rsidR="00D02B08" w:rsidRPr="00C145F7">
        <w:rPr>
          <w:rFonts w:ascii="Segoe UI" w:hAnsi="Segoe UI" w:cs="Segoe UI"/>
          <w:sz w:val="18"/>
          <w:szCs w:val="18"/>
        </w:rPr>
        <w:tab/>
        <w:t>výhřevnost zemního plynu (0,03406 GJ/m</w:t>
      </w:r>
      <w:r w:rsidR="00D02B08" w:rsidRPr="00C145F7">
        <w:rPr>
          <w:rFonts w:ascii="Segoe UI" w:hAnsi="Segoe UI" w:cs="Segoe UI"/>
          <w:sz w:val="18"/>
          <w:szCs w:val="18"/>
          <w:vertAlign w:val="superscript"/>
        </w:rPr>
        <w:t>3</w:t>
      </w:r>
      <w:r w:rsidR="00D02B08" w:rsidRPr="00C145F7">
        <w:rPr>
          <w:rFonts w:ascii="Segoe UI" w:hAnsi="Segoe UI" w:cs="Segoe UI"/>
          <w:sz w:val="18"/>
          <w:szCs w:val="18"/>
        </w:rPr>
        <w:t>)</w:t>
      </w:r>
      <w:r w:rsidR="00844106">
        <w:rPr>
          <w:rFonts w:ascii="Segoe UI" w:hAnsi="Segoe UI" w:cs="Segoe UI"/>
          <w:sz w:val="18"/>
          <w:szCs w:val="18"/>
        </w:rPr>
        <w:t xml:space="preserve"> </w:t>
      </w:r>
      <w:r w:rsidR="00844106" w:rsidRPr="00844106">
        <w:rPr>
          <w:rFonts w:ascii="Segoe UI" w:hAnsi="Segoe UI" w:cs="Segoe UI"/>
          <w:i/>
          <w:sz w:val="18"/>
          <w:szCs w:val="18"/>
          <w:highlight w:val="yellow"/>
        </w:rPr>
        <w:t>(stanoveno zadavatelem)</w:t>
      </w:r>
    </w:p>
    <w:p w14:paraId="75553789" w14:textId="3597C49E" w:rsidR="00D02B08" w:rsidRPr="00C145F7" w:rsidRDefault="00A3569C" w:rsidP="00D02B08">
      <w:pPr>
        <w:pStyle w:val="Bezmezer"/>
        <w:ind w:left="705" w:hanging="705"/>
        <w:rPr>
          <w:rFonts w:ascii="Segoe UI" w:hAnsi="Segoe UI" w:cs="Segoe UI"/>
          <w:sz w:val="18"/>
          <w:szCs w:val="18"/>
        </w:rPr>
      </w:pPr>
      <m:oMath>
        <m:sSub>
          <m:sSubPr>
            <m:ctrlPr>
              <w:rPr>
                <w:rFonts w:ascii="Cambria Math" w:hAnsi="Cambria Math" w:cs="Segoe UI"/>
                <w:sz w:val="18"/>
                <w:szCs w:val="18"/>
              </w:rPr>
            </m:ctrlPr>
          </m:sSubPr>
          <m:e>
            <m:r>
              <w:rPr>
                <w:rFonts w:ascii="Cambria Math" w:hAnsi="Cambria Math" w:cs="Segoe UI"/>
                <w:sz w:val="18"/>
                <w:szCs w:val="18"/>
              </w:rPr>
              <m:t>C</m:t>
            </m:r>
          </m:e>
          <m:sub>
            <m:r>
              <w:rPr>
                <w:rFonts w:ascii="Cambria Math" w:hAnsi="Cambria Math" w:cs="Segoe UI"/>
                <w:sz w:val="18"/>
                <w:szCs w:val="18"/>
              </w:rPr>
              <m:t>pn</m:t>
            </m:r>
          </m:sub>
        </m:sSub>
      </m:oMath>
      <w:r w:rsidR="00D02B08" w:rsidRPr="00C145F7">
        <w:rPr>
          <w:rFonts w:ascii="Segoe UI" w:hAnsi="Segoe UI" w:cs="Segoe UI"/>
          <w:sz w:val="18"/>
          <w:szCs w:val="18"/>
        </w:rPr>
        <w:tab/>
        <w:t>průměrná cena zemního plynu (Kč/m</w:t>
      </w:r>
      <w:r w:rsidR="00D02B08" w:rsidRPr="00C145F7">
        <w:rPr>
          <w:rFonts w:ascii="Segoe UI" w:hAnsi="Segoe UI" w:cs="Segoe UI"/>
          <w:sz w:val="18"/>
          <w:szCs w:val="18"/>
          <w:vertAlign w:val="superscript"/>
        </w:rPr>
        <w:t>3</w:t>
      </w:r>
      <w:r w:rsidR="00D02B08" w:rsidRPr="00C145F7">
        <w:rPr>
          <w:rFonts w:ascii="Segoe UI" w:hAnsi="Segoe UI" w:cs="Segoe UI"/>
          <w:sz w:val="18"/>
          <w:szCs w:val="18"/>
        </w:rPr>
        <w:t>) v příslušném měsíci bez DPH, kterou odběratel tepelné energie v případě dodávky zemního plynu dodavateli či dodavatel v případě nákupu zemního plynu přímo od obchodníka se zemním plynem skutečně uhradí svému dodavateli zemního plynu (ve spalném teple za fakturačních podmínek včetně veškerých poplatků souvisejících s cenou zemního plynu).</w:t>
      </w:r>
      <w:r w:rsidR="00844106">
        <w:rPr>
          <w:rFonts w:ascii="Segoe UI" w:hAnsi="Segoe UI" w:cs="Segoe UI"/>
          <w:sz w:val="18"/>
          <w:szCs w:val="18"/>
        </w:rPr>
        <w:t xml:space="preserve"> </w:t>
      </w:r>
      <w:r w:rsidR="00844106" w:rsidRPr="00844106">
        <w:rPr>
          <w:rFonts w:ascii="Segoe UI" w:hAnsi="Segoe UI" w:cs="Segoe UI"/>
          <w:i/>
          <w:sz w:val="18"/>
          <w:szCs w:val="18"/>
          <w:highlight w:val="yellow"/>
        </w:rPr>
        <w:t xml:space="preserve">(pro účely hodnocení nabídek stanoveno zadavatelem </w:t>
      </w:r>
      <w:r w:rsidR="00A85937">
        <w:rPr>
          <w:rFonts w:ascii="Segoe UI" w:hAnsi="Segoe UI" w:cs="Segoe UI"/>
          <w:i/>
          <w:sz w:val="18"/>
          <w:szCs w:val="18"/>
          <w:highlight w:val="yellow"/>
        </w:rPr>
        <w:t>–</w:t>
      </w:r>
      <w:r w:rsidR="00844106" w:rsidRPr="00844106">
        <w:rPr>
          <w:rFonts w:ascii="Segoe UI" w:hAnsi="Segoe UI" w:cs="Segoe UI"/>
          <w:i/>
          <w:sz w:val="18"/>
          <w:szCs w:val="18"/>
          <w:highlight w:val="yellow"/>
        </w:rPr>
        <w:t xml:space="preserve"> </w:t>
      </w:r>
      <w:r w:rsidR="00B93F0D">
        <w:rPr>
          <w:rFonts w:ascii="Segoe UI" w:hAnsi="Segoe UI" w:cs="Segoe UI"/>
          <w:i/>
          <w:sz w:val="18"/>
          <w:szCs w:val="18"/>
          <w:highlight w:val="yellow"/>
        </w:rPr>
        <w:t>8,50</w:t>
      </w:r>
      <w:r w:rsidR="00A85937">
        <w:rPr>
          <w:rFonts w:ascii="Segoe UI" w:hAnsi="Segoe UI" w:cs="Segoe UI"/>
          <w:i/>
          <w:sz w:val="18"/>
          <w:szCs w:val="18"/>
          <w:highlight w:val="yellow"/>
        </w:rPr>
        <w:t xml:space="preserve"> </w:t>
      </w:r>
      <w:r w:rsidR="00844106" w:rsidRPr="00844106">
        <w:rPr>
          <w:rFonts w:ascii="Segoe UI" w:hAnsi="Segoe UI" w:cs="Segoe UI"/>
          <w:i/>
          <w:sz w:val="18"/>
          <w:szCs w:val="18"/>
          <w:highlight w:val="yellow"/>
        </w:rPr>
        <w:t>Kč/m</w:t>
      </w:r>
      <w:r w:rsidR="00844106" w:rsidRPr="00B93F0D">
        <w:rPr>
          <w:rFonts w:ascii="Segoe UI" w:hAnsi="Segoe UI" w:cs="Segoe UI"/>
          <w:i/>
          <w:sz w:val="18"/>
          <w:szCs w:val="18"/>
          <w:highlight w:val="yellow"/>
        </w:rPr>
        <w:t>3</w:t>
      </w:r>
      <w:r w:rsidR="00B93F0D">
        <w:rPr>
          <w:rFonts w:ascii="Segoe UI" w:hAnsi="Segoe UI" w:cs="Segoe UI"/>
          <w:i/>
          <w:sz w:val="18"/>
          <w:szCs w:val="18"/>
          <w:highlight w:val="yellow"/>
        </w:rPr>
        <w:t xml:space="preserve"> </w:t>
      </w:r>
      <w:r w:rsidR="00817FD7">
        <w:rPr>
          <w:rFonts w:ascii="Segoe UI" w:hAnsi="Segoe UI" w:cs="Segoe UI"/>
          <w:i/>
          <w:sz w:val="18"/>
          <w:szCs w:val="18"/>
          <w:highlight w:val="yellow"/>
        </w:rPr>
        <w:t xml:space="preserve">bez DPH </w:t>
      </w:r>
      <w:r w:rsidR="00B93F0D">
        <w:rPr>
          <w:rFonts w:ascii="Segoe UI" w:hAnsi="Segoe UI" w:cs="Segoe UI"/>
          <w:i/>
          <w:sz w:val="18"/>
          <w:szCs w:val="18"/>
          <w:highlight w:val="yellow"/>
        </w:rPr>
        <w:t>včetně všech poplatků)</w:t>
      </w:r>
    </w:p>
    <w:p w14:paraId="7715D9A5" w14:textId="27106ED0" w:rsidR="00844106" w:rsidRPr="00B93F0D" w:rsidRDefault="00EF3E71" w:rsidP="00844106">
      <w:pPr>
        <w:pStyle w:val="Bezmezer"/>
        <w:ind w:left="709" w:hanging="709"/>
        <w:rPr>
          <w:rFonts w:ascii="Segoe UI" w:hAnsi="Segoe UI" w:cs="Segoe UI"/>
          <w:i/>
          <w:sz w:val="18"/>
          <w:szCs w:val="18"/>
          <w:highlight w:val="yellow"/>
        </w:rPr>
      </w:pPr>
      <m:oMath>
        <m:r>
          <w:rPr>
            <w:rFonts w:ascii="Cambria Math" w:hAnsi="Cambria Math" w:cs="Segoe UI"/>
            <w:sz w:val="18"/>
            <w:szCs w:val="18"/>
          </w:rPr>
          <m:t>PG</m:t>
        </m:r>
      </m:oMath>
      <w:r w:rsidR="00D02B08" w:rsidRPr="00C145F7">
        <w:rPr>
          <w:rStyle w:val="Siln"/>
          <w:rFonts w:ascii="Segoe UI" w:eastAsia="Times New Roman" w:hAnsi="Segoe UI" w:cs="Segoe UI"/>
          <w:b w:val="0"/>
          <w:bCs w:val="0"/>
          <w:sz w:val="18"/>
          <w:szCs w:val="18"/>
          <w:vertAlign w:val="subscript"/>
        </w:rPr>
        <w:t>n</w:t>
      </w:r>
      <w:r w:rsidR="00D02B08" w:rsidRPr="00C145F7">
        <w:rPr>
          <w:rStyle w:val="Siln"/>
          <w:rFonts w:ascii="Segoe UI" w:eastAsia="Times New Roman" w:hAnsi="Segoe UI" w:cs="Segoe UI"/>
          <w:b w:val="0"/>
          <w:bCs w:val="0"/>
          <w:sz w:val="18"/>
          <w:szCs w:val="18"/>
          <w:vertAlign w:val="subscript"/>
        </w:rPr>
        <w:tab/>
      </w:r>
      <w:r w:rsidR="00D02B08" w:rsidRPr="00C145F7">
        <w:rPr>
          <w:rStyle w:val="Siln"/>
          <w:rFonts w:ascii="Segoe UI" w:eastAsia="Times New Roman" w:hAnsi="Segoe UI" w:cs="Segoe UI"/>
          <w:b w:val="0"/>
          <w:bCs w:val="0"/>
          <w:sz w:val="18"/>
          <w:szCs w:val="18"/>
        </w:rPr>
        <w:t>Doplňková cena tepla (Kč/GJ) v n-</w:t>
      </w:r>
      <w:proofErr w:type="spellStart"/>
      <w:r w:rsidR="00D02B08" w:rsidRPr="00C145F7">
        <w:rPr>
          <w:rStyle w:val="Siln"/>
          <w:rFonts w:ascii="Segoe UI" w:eastAsia="Times New Roman" w:hAnsi="Segoe UI" w:cs="Segoe UI"/>
          <w:b w:val="0"/>
          <w:bCs w:val="0"/>
          <w:sz w:val="18"/>
          <w:szCs w:val="18"/>
        </w:rPr>
        <w:t>tém</w:t>
      </w:r>
      <w:proofErr w:type="spellEnd"/>
      <w:r w:rsidR="00D02B08" w:rsidRPr="00C145F7">
        <w:rPr>
          <w:rStyle w:val="Siln"/>
          <w:rFonts w:ascii="Segoe UI" w:eastAsia="Times New Roman" w:hAnsi="Segoe UI" w:cs="Segoe UI"/>
          <w:b w:val="0"/>
          <w:bCs w:val="0"/>
          <w:sz w:val="18"/>
          <w:szCs w:val="18"/>
        </w:rPr>
        <w:t xml:space="preserve"> roce provozu bez DPH</w:t>
      </w:r>
      <w:r w:rsidR="00844106">
        <w:rPr>
          <w:rStyle w:val="Siln"/>
          <w:rFonts w:ascii="Segoe UI" w:eastAsia="Times New Roman" w:hAnsi="Segoe UI" w:cs="Segoe UI"/>
          <w:b w:val="0"/>
          <w:bCs w:val="0"/>
          <w:sz w:val="18"/>
          <w:szCs w:val="18"/>
        </w:rPr>
        <w:t xml:space="preserve"> zahrnující náklady na realizaci, odpisy, mzdy, zisk a ostatní proměnné náklady </w:t>
      </w:r>
      <w:r w:rsidR="00844106" w:rsidRPr="00B93F0D">
        <w:rPr>
          <w:rFonts w:ascii="Segoe UI" w:hAnsi="Segoe UI" w:cs="Segoe UI"/>
          <w:i/>
          <w:sz w:val="18"/>
          <w:szCs w:val="18"/>
          <w:highlight w:val="yellow"/>
        </w:rPr>
        <w:t xml:space="preserve">(bude doplněno dodavatelem) </w:t>
      </w:r>
    </w:p>
    <w:p w14:paraId="01974B86" w14:textId="36E0DFDD" w:rsidR="00D02B08" w:rsidRPr="00C145F7" w:rsidRDefault="00EF3E71" w:rsidP="00D02B08">
      <w:pPr>
        <w:pStyle w:val="Bezmezer"/>
        <w:ind w:left="709" w:hanging="709"/>
        <w:rPr>
          <w:rStyle w:val="Siln"/>
          <w:rFonts w:ascii="Segoe UI" w:eastAsia="Times New Roman" w:hAnsi="Segoe UI" w:cs="Segoe UI"/>
          <w:b w:val="0"/>
          <w:bCs w:val="0"/>
          <w:sz w:val="18"/>
          <w:szCs w:val="18"/>
        </w:rPr>
      </w:pPr>
      <m:oMath>
        <m:r>
          <w:rPr>
            <w:rFonts w:ascii="Cambria Math" w:hAnsi="Cambria Math" w:cs="Segoe UI"/>
            <w:sz w:val="18"/>
            <w:szCs w:val="18"/>
          </w:rPr>
          <m:t>TE</m:t>
        </m:r>
      </m:oMath>
      <w:r w:rsidR="00D02B08" w:rsidRPr="00C145F7">
        <w:rPr>
          <w:rStyle w:val="Siln"/>
          <w:rFonts w:ascii="Segoe UI" w:eastAsia="Times New Roman" w:hAnsi="Segoe UI" w:cs="Segoe UI"/>
          <w:b w:val="0"/>
          <w:bCs w:val="0"/>
          <w:sz w:val="18"/>
          <w:szCs w:val="18"/>
          <w:vertAlign w:val="subscript"/>
        </w:rPr>
        <w:t>O</w:t>
      </w:r>
      <w:r w:rsidR="00D02B08" w:rsidRPr="00C145F7">
        <w:rPr>
          <w:rStyle w:val="Siln"/>
          <w:rFonts w:ascii="Segoe UI" w:eastAsia="Times New Roman" w:hAnsi="Segoe UI" w:cs="Segoe UI"/>
          <w:b w:val="0"/>
          <w:bCs w:val="0"/>
          <w:sz w:val="18"/>
          <w:szCs w:val="18"/>
          <w:vertAlign w:val="subscript"/>
        </w:rPr>
        <w:tab/>
      </w:r>
      <w:r w:rsidR="00D02B08" w:rsidRPr="00C145F7">
        <w:rPr>
          <w:rStyle w:val="Siln"/>
          <w:rFonts w:ascii="Segoe UI" w:eastAsia="Times New Roman" w:hAnsi="Segoe UI" w:cs="Segoe UI"/>
          <w:b w:val="0"/>
          <w:bCs w:val="0"/>
          <w:sz w:val="18"/>
          <w:szCs w:val="18"/>
        </w:rPr>
        <w:t>Výchozí hodnota dodaného množství tepla z</w:t>
      </w:r>
      <w:r w:rsidR="0012771D" w:rsidRPr="00C145F7">
        <w:rPr>
          <w:rStyle w:val="Siln"/>
          <w:rFonts w:ascii="Segoe UI" w:eastAsia="Times New Roman" w:hAnsi="Segoe UI" w:cs="Segoe UI"/>
          <w:b w:val="0"/>
          <w:bCs w:val="0"/>
          <w:sz w:val="18"/>
          <w:szCs w:val="18"/>
        </w:rPr>
        <w:t> </w:t>
      </w:r>
      <w:r w:rsidR="00D02B08" w:rsidRPr="00C145F7">
        <w:rPr>
          <w:rStyle w:val="Siln"/>
          <w:rFonts w:ascii="Segoe UI" w:eastAsia="Times New Roman" w:hAnsi="Segoe UI" w:cs="Segoe UI"/>
          <w:b w:val="0"/>
          <w:bCs w:val="0"/>
          <w:sz w:val="18"/>
          <w:szCs w:val="18"/>
        </w:rPr>
        <w:t>kotelny</w:t>
      </w:r>
      <w:r w:rsidR="0012771D" w:rsidRPr="00C145F7">
        <w:rPr>
          <w:rStyle w:val="Siln"/>
          <w:rFonts w:ascii="Segoe UI" w:eastAsia="Times New Roman" w:hAnsi="Segoe UI" w:cs="Segoe UI"/>
          <w:b w:val="0"/>
          <w:bCs w:val="0"/>
          <w:sz w:val="18"/>
          <w:szCs w:val="18"/>
        </w:rPr>
        <w:t xml:space="preserve"> (tj. </w:t>
      </w:r>
      <w:r w:rsidR="0012771D" w:rsidRPr="00DA3DEB">
        <w:rPr>
          <w:rFonts w:ascii="Segoe UI" w:hAnsi="Segoe UI" w:cs="Segoe UI"/>
          <w:sz w:val="18"/>
          <w:szCs w:val="18"/>
        </w:rPr>
        <w:t>3978</w:t>
      </w:r>
      <w:r w:rsidR="0012771D" w:rsidRPr="00C145F7">
        <w:rPr>
          <w:rFonts w:ascii="Segoe UI" w:hAnsi="Segoe UI" w:cs="Segoe UI"/>
          <w:sz w:val="18"/>
          <w:szCs w:val="18"/>
        </w:rPr>
        <w:t xml:space="preserve"> GJ/rok</w:t>
      </w:r>
      <w:r w:rsidR="0012771D" w:rsidRPr="00C145F7">
        <w:rPr>
          <w:rStyle w:val="Siln"/>
          <w:rFonts w:ascii="Segoe UI" w:eastAsia="Times New Roman" w:hAnsi="Segoe UI" w:cs="Segoe UI"/>
          <w:b w:val="0"/>
          <w:bCs w:val="0"/>
          <w:sz w:val="18"/>
          <w:szCs w:val="18"/>
        </w:rPr>
        <w:t>)</w:t>
      </w:r>
      <w:r w:rsidR="00844106">
        <w:rPr>
          <w:rStyle w:val="Siln"/>
          <w:rFonts w:ascii="Segoe UI" w:eastAsia="Times New Roman" w:hAnsi="Segoe UI" w:cs="Segoe UI"/>
          <w:b w:val="0"/>
          <w:bCs w:val="0"/>
          <w:sz w:val="18"/>
          <w:szCs w:val="18"/>
        </w:rPr>
        <w:t xml:space="preserve"> </w:t>
      </w:r>
      <w:r w:rsidR="00844106" w:rsidRPr="00844106">
        <w:rPr>
          <w:rFonts w:ascii="Segoe UI" w:hAnsi="Segoe UI" w:cs="Segoe UI"/>
          <w:i/>
          <w:sz w:val="18"/>
          <w:szCs w:val="18"/>
          <w:highlight w:val="yellow"/>
        </w:rPr>
        <w:t>(stanoveno zadavatelem)</w:t>
      </w:r>
    </w:p>
    <w:p w14:paraId="2438FE64" w14:textId="15BB1744" w:rsidR="00D02B08" w:rsidRPr="00C145F7" w:rsidRDefault="00EF3E71" w:rsidP="00D02B08">
      <w:pPr>
        <w:pStyle w:val="Bezmezer"/>
        <w:ind w:left="709" w:hanging="709"/>
        <w:rPr>
          <w:rStyle w:val="Siln"/>
          <w:rFonts w:ascii="Segoe UI" w:eastAsia="Times New Roman" w:hAnsi="Segoe UI" w:cs="Segoe UI"/>
          <w:b w:val="0"/>
          <w:bCs w:val="0"/>
          <w:sz w:val="18"/>
          <w:szCs w:val="18"/>
        </w:rPr>
      </w:pPr>
      <m:oMath>
        <m:r>
          <w:rPr>
            <w:rFonts w:ascii="Cambria Math" w:hAnsi="Cambria Math" w:cs="Segoe UI"/>
            <w:sz w:val="18"/>
            <w:szCs w:val="18"/>
          </w:rPr>
          <m:t>TE</m:t>
        </m:r>
      </m:oMath>
      <w:proofErr w:type="gramStart"/>
      <w:r w:rsidR="00D02B08" w:rsidRPr="00C145F7">
        <w:rPr>
          <w:rStyle w:val="Siln"/>
          <w:rFonts w:ascii="Segoe UI" w:eastAsia="Times New Roman" w:hAnsi="Segoe UI" w:cs="Segoe UI"/>
          <w:b w:val="0"/>
          <w:bCs w:val="0"/>
          <w:sz w:val="18"/>
          <w:szCs w:val="18"/>
          <w:vertAlign w:val="subscript"/>
        </w:rPr>
        <w:t>s</w:t>
      </w:r>
      <w:proofErr w:type="gramEnd"/>
      <w:r w:rsidR="00D02B08" w:rsidRPr="00C145F7">
        <w:rPr>
          <w:rStyle w:val="Siln"/>
          <w:rFonts w:ascii="Segoe UI" w:eastAsia="Times New Roman" w:hAnsi="Segoe UI" w:cs="Segoe UI"/>
          <w:b w:val="0"/>
          <w:bCs w:val="0"/>
          <w:sz w:val="18"/>
          <w:szCs w:val="18"/>
          <w:vertAlign w:val="subscript"/>
        </w:rPr>
        <w:tab/>
      </w:r>
      <w:r w:rsidR="00D02B08" w:rsidRPr="00C145F7">
        <w:rPr>
          <w:rStyle w:val="Siln"/>
          <w:rFonts w:ascii="Segoe UI" w:eastAsia="Times New Roman" w:hAnsi="Segoe UI" w:cs="Segoe UI"/>
          <w:b w:val="0"/>
          <w:bCs w:val="0"/>
          <w:sz w:val="18"/>
          <w:szCs w:val="18"/>
        </w:rPr>
        <w:t>Skutečně dodané množství tepla</w:t>
      </w:r>
      <w:r w:rsidR="00844106">
        <w:rPr>
          <w:rStyle w:val="Siln"/>
          <w:rFonts w:ascii="Segoe UI" w:eastAsia="Times New Roman" w:hAnsi="Segoe UI" w:cs="Segoe UI"/>
          <w:b w:val="0"/>
          <w:bCs w:val="0"/>
          <w:sz w:val="18"/>
          <w:szCs w:val="18"/>
        </w:rPr>
        <w:t xml:space="preserve"> </w:t>
      </w:r>
      <w:r w:rsidR="00844106" w:rsidRPr="00844106">
        <w:rPr>
          <w:rFonts w:ascii="Segoe UI" w:hAnsi="Segoe UI" w:cs="Segoe UI"/>
          <w:i/>
          <w:sz w:val="18"/>
          <w:szCs w:val="18"/>
          <w:highlight w:val="yellow"/>
        </w:rPr>
        <w:t>(pro účely hodnocení nabídek stanoveno zadavatelem - 3978 GJ/rok)</w:t>
      </w:r>
    </w:p>
    <w:p w14:paraId="39840A56" w14:textId="77777777" w:rsidR="00D02B08" w:rsidRPr="00C145F7" w:rsidRDefault="00D02B08" w:rsidP="00A25E6E">
      <w:pPr>
        <w:ind w:left="426"/>
        <w:rPr>
          <w:rFonts w:cs="Segoe UI"/>
          <w:szCs w:val="18"/>
          <w:u w:val="single"/>
        </w:rPr>
      </w:pPr>
    </w:p>
    <w:p w14:paraId="198D5994" w14:textId="77777777" w:rsidR="00D02B08" w:rsidRPr="00C145F7" w:rsidRDefault="00D02B08" w:rsidP="00A25E6E">
      <w:pPr>
        <w:ind w:left="426"/>
        <w:rPr>
          <w:rFonts w:cs="Segoe UI"/>
          <w:szCs w:val="18"/>
          <w:u w:val="single"/>
        </w:rPr>
      </w:pPr>
    </w:p>
    <w:p w14:paraId="5EB233C4" w14:textId="77777777" w:rsidR="00D02B08" w:rsidRPr="00C145F7" w:rsidRDefault="00D02B08" w:rsidP="00A25E6E">
      <w:pPr>
        <w:ind w:left="426"/>
        <w:rPr>
          <w:rFonts w:cs="Segoe UI"/>
          <w:szCs w:val="18"/>
          <w:u w:val="single"/>
        </w:rPr>
      </w:pPr>
      <w:r w:rsidRPr="00C145F7">
        <w:rPr>
          <w:rFonts w:cs="Segoe UI"/>
          <w:szCs w:val="18"/>
        </w:rPr>
        <w:t>Aktualizace ceny tepelné energie probíhá na základě prokazatelné změny ceny zemního plynu a je tudíž transparentní; ostatní koeficienty zůstávají za účelem výpočtu nezměněny, neboť vycházejí z dohody smluvních stran při uzavírání této smlouvy. Doplňková cena tepla se může ročně měnit dle vývoje indexu spotřebitelských cen Českého statistického úřadu v příslušném roce n.</w:t>
      </w:r>
    </w:p>
    <w:p w14:paraId="7578DE76" w14:textId="77777777" w:rsidR="00D02B08" w:rsidRPr="00C145F7" w:rsidRDefault="00D02B08" w:rsidP="00A25E6E">
      <w:pPr>
        <w:ind w:left="426"/>
        <w:rPr>
          <w:rFonts w:cs="Segoe UI"/>
          <w:szCs w:val="18"/>
          <w:u w:val="single"/>
        </w:rPr>
      </w:pPr>
    </w:p>
    <w:p w14:paraId="38FB432A" w14:textId="01137DC3" w:rsidR="00D02B08" w:rsidRDefault="00D02B08" w:rsidP="00D02B08">
      <w:pPr>
        <w:pStyle w:val="Default"/>
        <w:ind w:left="1843"/>
        <w:jc w:val="both"/>
        <w:rPr>
          <w:rFonts w:ascii="Segoe UI" w:hAnsi="Segoe UI" w:cs="Segoe UI"/>
          <w:b/>
          <w:bCs/>
          <w:sz w:val="18"/>
          <w:szCs w:val="18"/>
        </w:rPr>
      </w:pPr>
      <w:proofErr w:type="spellStart"/>
      <w:r w:rsidRPr="00C145F7">
        <w:rPr>
          <w:rFonts w:ascii="Segoe UI" w:hAnsi="Segoe UI" w:cs="Segoe UI"/>
          <w:b/>
          <w:bCs/>
          <w:sz w:val="18"/>
          <w:szCs w:val="18"/>
        </w:rPr>
        <w:t>PGn</w:t>
      </w:r>
      <w:proofErr w:type="spellEnd"/>
      <w:r w:rsidRPr="00C145F7">
        <w:rPr>
          <w:rFonts w:ascii="Segoe UI" w:hAnsi="Segoe UI" w:cs="Segoe UI"/>
          <w:b/>
          <w:bCs/>
          <w:sz w:val="18"/>
          <w:szCs w:val="18"/>
        </w:rPr>
        <w:t xml:space="preserve"> = PG0 </w:t>
      </w:r>
      <w:r w:rsidR="00DA3DEB">
        <w:rPr>
          <w:rFonts w:ascii="Segoe UI" w:hAnsi="Segoe UI" w:cs="Segoe UI"/>
          <w:b/>
          <w:bCs/>
          <w:sz w:val="18"/>
          <w:szCs w:val="18"/>
        </w:rPr>
        <w:t>x</w:t>
      </w:r>
      <w:r w:rsidRPr="00C145F7">
        <w:rPr>
          <w:rFonts w:ascii="Segoe UI" w:hAnsi="Segoe UI" w:cs="Segoe UI"/>
          <w:b/>
          <w:bCs/>
          <w:sz w:val="18"/>
          <w:szCs w:val="18"/>
        </w:rPr>
        <w:t xml:space="preserve"> (</w:t>
      </w:r>
      <w:proofErr w:type="spellStart"/>
      <w:r w:rsidRPr="00C145F7">
        <w:rPr>
          <w:rFonts w:ascii="Segoe UI" w:hAnsi="Segoe UI" w:cs="Segoe UI"/>
          <w:b/>
          <w:bCs/>
          <w:sz w:val="18"/>
          <w:szCs w:val="18"/>
        </w:rPr>
        <w:t>Idn</w:t>
      </w:r>
      <w:proofErr w:type="spellEnd"/>
      <w:r w:rsidRPr="00C145F7">
        <w:rPr>
          <w:rFonts w:ascii="Segoe UI" w:hAnsi="Segoe UI" w:cs="Segoe UI"/>
          <w:b/>
          <w:bCs/>
          <w:sz w:val="18"/>
          <w:szCs w:val="18"/>
        </w:rPr>
        <w:t xml:space="preserve">/Id0) [Kč/GJ bez DPH] </w:t>
      </w:r>
    </w:p>
    <w:p w14:paraId="63CC57A3" w14:textId="374089D0" w:rsidR="00A3569C" w:rsidRPr="00A3569C" w:rsidRDefault="00A3569C" w:rsidP="00A3569C">
      <w:pPr>
        <w:pStyle w:val="Default"/>
        <w:ind w:left="1843" w:hanging="1417"/>
        <w:jc w:val="both"/>
        <w:rPr>
          <w:rFonts w:cs="Segoe UI"/>
          <w:color w:val="FF0000"/>
          <w:szCs w:val="18"/>
        </w:rPr>
      </w:pPr>
      <w:r w:rsidRPr="00A3569C">
        <w:rPr>
          <w:rFonts w:ascii="Segoe UI" w:hAnsi="Segoe UI" w:cs="Segoe UI"/>
          <w:bCs/>
          <w:color w:val="FF0000"/>
          <w:sz w:val="18"/>
          <w:szCs w:val="18"/>
        </w:rPr>
        <w:t>PG0</w:t>
      </w:r>
      <w:r w:rsidRPr="00A3569C">
        <w:rPr>
          <w:rFonts w:ascii="Segoe UI" w:hAnsi="Segoe UI" w:cs="Segoe UI"/>
          <w:bCs/>
          <w:color w:val="FF0000"/>
          <w:sz w:val="18"/>
          <w:szCs w:val="18"/>
        </w:rPr>
        <w:t xml:space="preserve"> </w:t>
      </w:r>
      <w:r>
        <w:rPr>
          <w:rFonts w:ascii="Segoe UI" w:hAnsi="Segoe UI" w:cs="Segoe UI"/>
          <w:bCs/>
          <w:color w:val="FF0000"/>
          <w:sz w:val="18"/>
          <w:szCs w:val="18"/>
        </w:rPr>
        <w:t xml:space="preserve">  </w:t>
      </w:r>
      <w:r w:rsidRPr="00A3569C">
        <w:rPr>
          <w:rFonts w:ascii="Segoe UI" w:hAnsi="Segoe UI" w:cs="Segoe UI"/>
          <w:bCs/>
          <w:color w:val="FF0000"/>
          <w:sz w:val="18"/>
          <w:szCs w:val="18"/>
        </w:rPr>
        <w:t xml:space="preserve">základní cena v době uzavření smlouvy (Kč/GJ), </w:t>
      </w:r>
      <w:proofErr w:type="spellStart"/>
      <w:r w:rsidRPr="00A3569C">
        <w:rPr>
          <w:rFonts w:ascii="Segoe UI" w:hAnsi="Segoe UI" w:cs="Segoe UI"/>
          <w:bCs/>
          <w:color w:val="FF0000"/>
          <w:sz w:val="18"/>
          <w:szCs w:val="18"/>
        </w:rPr>
        <w:t>t.j</w:t>
      </w:r>
      <w:proofErr w:type="spellEnd"/>
      <w:r w:rsidRPr="00A3569C">
        <w:rPr>
          <w:rFonts w:ascii="Segoe UI" w:hAnsi="Segoe UI" w:cs="Segoe UI"/>
          <w:bCs/>
          <w:color w:val="FF0000"/>
          <w:sz w:val="18"/>
          <w:szCs w:val="18"/>
        </w:rPr>
        <w:t xml:space="preserve"> </w:t>
      </w:r>
      <w:proofErr w:type="spellStart"/>
      <w:proofErr w:type="gramStart"/>
      <w:r w:rsidRPr="00A3569C">
        <w:rPr>
          <w:rFonts w:cs="Segoe UI"/>
          <w:color w:val="FF0000"/>
          <w:szCs w:val="18"/>
          <w:highlight w:val="yellow"/>
        </w:rPr>
        <w:t>x,xx</w:t>
      </w:r>
      <w:proofErr w:type="spellEnd"/>
      <w:proofErr w:type="gramEnd"/>
      <w:r w:rsidRPr="00A3569C">
        <w:rPr>
          <w:rFonts w:cs="Segoe UI"/>
          <w:color w:val="FF0000"/>
          <w:szCs w:val="18"/>
        </w:rPr>
        <w:t xml:space="preserve"> Kč/GJ</w:t>
      </w:r>
    </w:p>
    <w:p w14:paraId="410ED062" w14:textId="57B8463E" w:rsidR="00A3569C" w:rsidRPr="00A3569C" w:rsidRDefault="00A3569C" w:rsidP="00A3569C">
      <w:pPr>
        <w:pStyle w:val="Default"/>
        <w:ind w:left="1843" w:hanging="1417"/>
        <w:jc w:val="both"/>
        <w:rPr>
          <w:rFonts w:cs="Segoe UI"/>
          <w:color w:val="FF0000"/>
          <w:szCs w:val="18"/>
        </w:rPr>
      </w:pPr>
      <w:proofErr w:type="spellStart"/>
      <w:r w:rsidRPr="00A3569C">
        <w:rPr>
          <w:rFonts w:ascii="Segoe UI" w:hAnsi="Segoe UI" w:cs="Segoe UI"/>
          <w:bCs/>
          <w:color w:val="FF0000"/>
          <w:sz w:val="18"/>
          <w:szCs w:val="18"/>
        </w:rPr>
        <w:t>Idn</w:t>
      </w:r>
      <w:proofErr w:type="spellEnd"/>
      <w:r w:rsidRPr="00A3569C">
        <w:rPr>
          <w:rFonts w:ascii="Segoe UI" w:hAnsi="Segoe UI" w:cs="Segoe UI"/>
          <w:bCs/>
          <w:color w:val="FF0000"/>
          <w:sz w:val="18"/>
          <w:szCs w:val="18"/>
        </w:rPr>
        <w:t xml:space="preserve"> </w:t>
      </w:r>
      <w:r>
        <w:rPr>
          <w:rFonts w:ascii="Segoe UI" w:hAnsi="Segoe UI" w:cs="Segoe UI"/>
          <w:bCs/>
          <w:color w:val="FF0000"/>
          <w:sz w:val="18"/>
          <w:szCs w:val="18"/>
        </w:rPr>
        <w:t xml:space="preserve">   </w:t>
      </w:r>
      <w:r w:rsidRPr="00A3569C">
        <w:rPr>
          <w:rFonts w:ascii="Segoe UI" w:hAnsi="Segoe UI" w:cs="Segoe UI"/>
          <w:bCs/>
          <w:color w:val="FF0000"/>
          <w:sz w:val="18"/>
          <w:szCs w:val="18"/>
        </w:rPr>
        <w:t>index spotřebitelských cen českého statistického úřadu v příslušném roce n</w:t>
      </w:r>
    </w:p>
    <w:p w14:paraId="01CFC564" w14:textId="20EB9D5B" w:rsidR="00A3569C" w:rsidRPr="00A3569C" w:rsidRDefault="00A3569C" w:rsidP="00A3569C">
      <w:pPr>
        <w:pStyle w:val="Default"/>
        <w:ind w:left="1843" w:hanging="1417"/>
        <w:jc w:val="both"/>
        <w:rPr>
          <w:rFonts w:ascii="Segoe UI" w:hAnsi="Segoe UI" w:cs="Segoe UI"/>
          <w:bCs/>
          <w:color w:val="FF0000"/>
          <w:sz w:val="18"/>
          <w:szCs w:val="18"/>
        </w:rPr>
      </w:pPr>
      <w:r w:rsidRPr="00A3569C">
        <w:rPr>
          <w:rFonts w:ascii="Segoe UI" w:hAnsi="Segoe UI" w:cs="Segoe UI"/>
          <w:bCs/>
          <w:color w:val="FF0000"/>
          <w:sz w:val="18"/>
          <w:szCs w:val="18"/>
        </w:rPr>
        <w:t>Id0</w:t>
      </w:r>
      <w:r>
        <w:rPr>
          <w:rFonts w:ascii="Segoe UI" w:hAnsi="Segoe UI" w:cs="Segoe UI"/>
          <w:bCs/>
          <w:color w:val="FF0000"/>
          <w:sz w:val="18"/>
          <w:szCs w:val="18"/>
        </w:rPr>
        <w:t xml:space="preserve">   </w:t>
      </w:r>
      <w:r w:rsidRPr="00A3569C">
        <w:rPr>
          <w:rFonts w:ascii="Segoe UI" w:hAnsi="Segoe UI" w:cs="Segoe UI"/>
          <w:bCs/>
          <w:color w:val="FF0000"/>
          <w:sz w:val="18"/>
          <w:szCs w:val="18"/>
        </w:rPr>
        <w:t xml:space="preserve"> </w:t>
      </w:r>
      <w:r w:rsidRPr="00A3569C">
        <w:rPr>
          <w:rFonts w:ascii="Segoe UI" w:hAnsi="Segoe UI" w:cs="Segoe UI"/>
          <w:bCs/>
          <w:color w:val="FF0000"/>
          <w:sz w:val="18"/>
          <w:szCs w:val="18"/>
        </w:rPr>
        <w:t>index spotřebitelských cen českého statistického úřadu</w:t>
      </w:r>
      <w:r w:rsidRPr="00A3569C">
        <w:rPr>
          <w:rFonts w:ascii="Segoe UI" w:hAnsi="Segoe UI" w:cs="Segoe UI"/>
          <w:bCs/>
          <w:color w:val="FF0000"/>
          <w:sz w:val="18"/>
          <w:szCs w:val="18"/>
        </w:rPr>
        <w:t xml:space="preserve"> v době uzavření smlouvy</w:t>
      </w:r>
    </w:p>
    <w:p w14:paraId="7E515AE5" w14:textId="66563DAB" w:rsidR="00A3569C" w:rsidRPr="00C145F7" w:rsidRDefault="00A3569C" w:rsidP="00A3569C">
      <w:pPr>
        <w:pStyle w:val="Default"/>
        <w:ind w:left="1843" w:hanging="1417"/>
        <w:jc w:val="both"/>
        <w:rPr>
          <w:rFonts w:ascii="Segoe UI" w:hAnsi="Segoe UI" w:cs="Segoe UI"/>
          <w:sz w:val="18"/>
          <w:szCs w:val="18"/>
        </w:rPr>
      </w:pPr>
      <w:r w:rsidRPr="00A3569C">
        <w:rPr>
          <w:rFonts w:ascii="Segoe UI" w:hAnsi="Segoe UI" w:cs="Segoe UI"/>
          <w:color w:val="FF0000"/>
          <w:sz w:val="18"/>
          <w:szCs w:val="18"/>
        </w:rPr>
        <w:t xml:space="preserve">n   </w:t>
      </w:r>
      <w:r>
        <w:rPr>
          <w:rFonts w:ascii="Segoe UI" w:hAnsi="Segoe UI" w:cs="Segoe UI"/>
          <w:color w:val="FF0000"/>
          <w:sz w:val="18"/>
          <w:szCs w:val="18"/>
        </w:rPr>
        <w:t xml:space="preserve">   </w:t>
      </w:r>
      <w:bookmarkStart w:id="11" w:name="_GoBack"/>
      <w:bookmarkEnd w:id="11"/>
      <w:r w:rsidRPr="00A3569C">
        <w:rPr>
          <w:rFonts w:ascii="Segoe UI" w:hAnsi="Segoe UI" w:cs="Segoe UI"/>
          <w:color w:val="FF0000"/>
          <w:sz w:val="18"/>
          <w:szCs w:val="18"/>
        </w:rPr>
        <w:t xml:space="preserve"> index pro příslušný rok</w:t>
      </w:r>
      <w:r>
        <w:rPr>
          <w:rFonts w:ascii="Segoe UI" w:hAnsi="Segoe UI" w:cs="Segoe UI"/>
          <w:sz w:val="18"/>
          <w:szCs w:val="18"/>
        </w:rPr>
        <w:tab/>
      </w:r>
    </w:p>
    <w:p w14:paraId="1A4C641F" w14:textId="77777777" w:rsidR="00D02B08" w:rsidRPr="00C145F7" w:rsidRDefault="00D02B08" w:rsidP="00A25E6E">
      <w:pPr>
        <w:ind w:left="426"/>
        <w:rPr>
          <w:rFonts w:cs="Segoe UI"/>
          <w:szCs w:val="18"/>
          <w:u w:val="single"/>
        </w:rPr>
      </w:pPr>
    </w:p>
    <w:p w14:paraId="7FA9C622" w14:textId="77777777" w:rsidR="00A25E6E" w:rsidRPr="00C145F7" w:rsidRDefault="00925CD6" w:rsidP="00666A20">
      <w:pPr>
        <w:numPr>
          <w:ilvl w:val="0"/>
          <w:numId w:val="12"/>
        </w:numPr>
        <w:tabs>
          <w:tab w:val="clear" w:pos="360"/>
        </w:tabs>
        <w:ind w:left="426" w:hanging="426"/>
        <w:rPr>
          <w:rFonts w:cs="Segoe UI"/>
          <w:szCs w:val="18"/>
          <w:u w:val="single"/>
        </w:rPr>
      </w:pPr>
      <w:r w:rsidRPr="00C145F7">
        <w:rPr>
          <w:rFonts w:cs="Segoe UI"/>
          <w:szCs w:val="18"/>
          <w:u w:val="single"/>
        </w:rPr>
        <w:t>Daně a jiné zákonné poplatky</w:t>
      </w:r>
    </w:p>
    <w:p w14:paraId="2F23147E" w14:textId="1B2D89ED" w:rsidR="00A25E6E" w:rsidRPr="00C145F7" w:rsidRDefault="00925CD6" w:rsidP="00666A20">
      <w:pPr>
        <w:numPr>
          <w:ilvl w:val="1"/>
          <w:numId w:val="13"/>
        </w:numPr>
        <w:ind w:left="993" w:hanging="567"/>
        <w:rPr>
          <w:rFonts w:cs="Segoe UI"/>
          <w:szCs w:val="18"/>
          <w:u w:val="single"/>
        </w:rPr>
      </w:pPr>
      <w:r w:rsidRPr="00C145F7">
        <w:rPr>
          <w:rFonts w:cs="Segoe UI"/>
          <w:szCs w:val="18"/>
        </w:rPr>
        <w:t>K cen</w:t>
      </w:r>
      <w:r w:rsidR="00F45EA7" w:rsidRPr="00C145F7">
        <w:rPr>
          <w:rFonts w:cs="Segoe UI"/>
          <w:szCs w:val="18"/>
        </w:rPr>
        <w:t>ě dodané tepelné energie</w:t>
      </w:r>
      <w:r w:rsidR="00A25E6E" w:rsidRPr="00C145F7">
        <w:rPr>
          <w:rFonts w:cs="Segoe UI"/>
          <w:szCs w:val="18"/>
        </w:rPr>
        <w:t xml:space="preserve"> bude připočtena daň z přidané </w:t>
      </w:r>
      <w:r w:rsidRPr="00C145F7">
        <w:rPr>
          <w:rFonts w:cs="Segoe UI"/>
          <w:szCs w:val="18"/>
        </w:rPr>
        <w:t>hodnoty v</w:t>
      </w:r>
      <w:r w:rsidR="00F45EA7" w:rsidRPr="00C145F7">
        <w:rPr>
          <w:rFonts w:cs="Segoe UI"/>
          <w:szCs w:val="18"/>
        </w:rPr>
        <w:t>e výši</w:t>
      </w:r>
      <w:r w:rsidRPr="00C145F7">
        <w:rPr>
          <w:rFonts w:cs="Segoe UI"/>
          <w:szCs w:val="18"/>
        </w:rPr>
        <w:t xml:space="preserve"> aktuální zákonné </w:t>
      </w:r>
      <w:r w:rsidR="00F45EA7" w:rsidRPr="00C145F7">
        <w:rPr>
          <w:rFonts w:cs="Segoe UI"/>
          <w:szCs w:val="18"/>
        </w:rPr>
        <w:t>sazby ke dni fakturace</w:t>
      </w:r>
      <w:r w:rsidRPr="00C145F7">
        <w:rPr>
          <w:rFonts w:cs="Segoe UI"/>
          <w:szCs w:val="18"/>
        </w:rPr>
        <w:t>.</w:t>
      </w:r>
    </w:p>
    <w:p w14:paraId="6FD5EF47" w14:textId="5234885D" w:rsidR="00A25E6E" w:rsidRPr="00C145F7" w:rsidRDefault="00925CD6" w:rsidP="00666A20">
      <w:pPr>
        <w:numPr>
          <w:ilvl w:val="1"/>
          <w:numId w:val="13"/>
        </w:numPr>
        <w:ind w:left="993" w:hanging="567"/>
        <w:rPr>
          <w:rFonts w:cs="Segoe UI"/>
          <w:szCs w:val="18"/>
          <w:u w:val="single"/>
        </w:rPr>
      </w:pPr>
      <w:r w:rsidRPr="00C145F7">
        <w:rPr>
          <w:rFonts w:cs="Segoe UI"/>
          <w:szCs w:val="18"/>
        </w:rPr>
        <w:t xml:space="preserve">Pokud by výroba tepla, která má být dodávána Odběrateli, popřípadě rozvod tepla nebo jeho prodej byly přímo nebo nepřímo zatíženy daněmi, poplatky nebo odvody jakéhokoliv druhu, které při uzavření této smlouvy nebyly ještě zákonně zavedeny, nebo pokud by daně, poplatky nebo odvody na výrobu, </w:t>
      </w:r>
      <w:r w:rsidRPr="00C145F7">
        <w:rPr>
          <w:rFonts w:cs="Segoe UI"/>
          <w:szCs w:val="18"/>
        </w:rPr>
        <w:lastRenderedPageBreak/>
        <w:t>prodej nebo rozvod tepla byly zvýšeny, je Dodavatel oprávněn odpovídajícím způsobem zvýšit sjednanou cenu tepla (zvýšení ceny tepla za určité období bude odpovídat výši těchto nových daní, poplatků nebo odvodů placených za toto období). V případě omezení a skončení takových zatížení bude Odběrateli zaručeno odpovídající vyrovnání (opětovné snížení ceny tepla odpovídajícím způsobem).</w:t>
      </w:r>
    </w:p>
    <w:p w14:paraId="7D4957E6" w14:textId="3A2B8F7C" w:rsidR="00A25E6E" w:rsidRPr="00C145F7" w:rsidRDefault="00925CD6" w:rsidP="00666A20">
      <w:pPr>
        <w:numPr>
          <w:ilvl w:val="1"/>
          <w:numId w:val="13"/>
        </w:numPr>
        <w:ind w:left="993" w:hanging="567"/>
        <w:rPr>
          <w:rFonts w:cs="Segoe UI"/>
          <w:szCs w:val="18"/>
          <w:u w:val="single"/>
        </w:rPr>
      </w:pPr>
      <w:r w:rsidRPr="00C145F7">
        <w:rPr>
          <w:rFonts w:cs="Segoe UI"/>
          <w:szCs w:val="18"/>
        </w:rPr>
        <w:t>Pokud se v průběhu trvání této smlouvy změní všeobecné hospodářské nebo technické poměry tak podstatně, že plnění a protislužba nebudou již navzájem v přiměřeném poměru – zejména v případě, kdy by z důvodu změny právních předpisů nebo z důvodů postupu orgánů veřejné moci došlo ke změně příspěvku k ceně elektřiny vyrobené z kombinované výroby elektřiny a tepla (tzv. Zelený bonus), a to k jeho snížení o více jak polovinu oproti příspěvku stanoveném v platném cenovém rozhodnutí Energetického regulačního úřadu v den uzavření této smlouvy – dohodnou se smluvní strany na odpovídající změně této smlouvy nebo jejích částí (zejména na změně sjednané ceny dodávek tepla) tak, aby odpovídaly změněným poměrům. Nedojde-li k takovéto dohodě smluvních stran, je Dodavatel oprávněn od této smlouvy bez dalšího odstoupit</w:t>
      </w:r>
      <w:r w:rsidR="001A6B7A" w:rsidRPr="00C145F7">
        <w:rPr>
          <w:rFonts w:cs="Segoe UI"/>
          <w:szCs w:val="18"/>
        </w:rPr>
        <w:t>.</w:t>
      </w:r>
    </w:p>
    <w:p w14:paraId="01BDFBFC" w14:textId="2729C253" w:rsidR="00925CD6" w:rsidRPr="00C145F7" w:rsidRDefault="00925CD6" w:rsidP="00666A20">
      <w:pPr>
        <w:numPr>
          <w:ilvl w:val="1"/>
          <w:numId w:val="13"/>
        </w:numPr>
        <w:ind w:left="993" w:hanging="567"/>
        <w:rPr>
          <w:rFonts w:cs="Segoe UI"/>
          <w:szCs w:val="18"/>
          <w:u w:val="single"/>
        </w:rPr>
      </w:pPr>
      <w:r w:rsidRPr="00C145F7">
        <w:rPr>
          <w:rFonts w:cs="Segoe UI"/>
          <w:szCs w:val="18"/>
        </w:rPr>
        <w:t xml:space="preserve">Pokud by se předpisy o ochraně životního prostředí existující při uzavření této smlouvy zpřísnily nebo pokud by na základě dodatečných podkladů nebo jiných veřejnoprávních aktů byla potřebná opatření dodatečného vybavení, je Dodavatel povinen doložit výše uvedené a </w:t>
      </w:r>
      <w:r w:rsidR="00B77301" w:rsidRPr="00C145F7">
        <w:rPr>
          <w:rFonts w:cs="Segoe UI"/>
          <w:szCs w:val="18"/>
        </w:rPr>
        <w:t xml:space="preserve">po vzájemné dohodě obou smluvních stran cenu za dodávky tepla odpovídajícím způsobem těmto skutečnostem přizpůsobit. Cena tepla bude zvýšena tak, že náklady na pořízení uvedeného dodatečného vybavení budou rozděleny do oprávněných nákladů pro kalkulaci ceny elektrické energie a </w:t>
      </w:r>
      <w:r w:rsidR="00892126" w:rsidRPr="00C145F7">
        <w:rPr>
          <w:rFonts w:cs="Segoe UI"/>
          <w:szCs w:val="18"/>
        </w:rPr>
        <w:t xml:space="preserve">do oprávněných nákladů pro kalkulaci ceny </w:t>
      </w:r>
      <w:r w:rsidR="00B77301" w:rsidRPr="00C145F7">
        <w:rPr>
          <w:rFonts w:cs="Segoe UI"/>
          <w:szCs w:val="18"/>
        </w:rPr>
        <w:t>tepla. Oprávněné náklady, které přímo souvisí s výrobou tepelné energie, budou započítány do ceny tepla tak, aby byly rovnoměrně přeneseny na Budoucího odběratele maximálně do výše souhrnu jejich účetních odpisů za zbývající dobu platnosti této smlouvy. Nedojde-li k takovéto dohodě smluvních stran, je Dodavatel oprávněn od této smlouvy bez dalšího odstoupit</w:t>
      </w:r>
      <w:r w:rsidR="00892126" w:rsidRPr="00C145F7">
        <w:rPr>
          <w:rFonts w:cs="Segoe UI"/>
          <w:szCs w:val="18"/>
        </w:rPr>
        <w:t>.</w:t>
      </w:r>
      <w:r w:rsidR="00B77301" w:rsidRPr="00C145F7">
        <w:rPr>
          <w:rFonts w:cs="Segoe UI"/>
          <w:szCs w:val="18"/>
        </w:rPr>
        <w:t xml:space="preserve">, </w:t>
      </w:r>
    </w:p>
    <w:p w14:paraId="70789589" w14:textId="3E3F1208" w:rsidR="00BD163D" w:rsidRPr="00C145F7" w:rsidRDefault="00BD163D" w:rsidP="00666A20">
      <w:pPr>
        <w:numPr>
          <w:ilvl w:val="1"/>
          <w:numId w:val="13"/>
        </w:numPr>
        <w:ind w:left="993" w:hanging="567"/>
        <w:rPr>
          <w:rFonts w:cs="Segoe UI"/>
          <w:szCs w:val="18"/>
          <w:u w:val="single"/>
        </w:rPr>
      </w:pPr>
      <w:r w:rsidRPr="00C145F7">
        <w:rPr>
          <w:rFonts w:cs="Segoe UI"/>
          <w:szCs w:val="18"/>
        </w:rPr>
        <w:t>Změna sjednané ceny dodávek tepla bude potvrzena uzavřením dodatku k této smlouvě. Nedojde-li k uzavření dodatku nebo jiné dohodě smluvních stran, je Dodavatel oprávněn od této smlouvy bez dalšího odstoupit.</w:t>
      </w:r>
    </w:p>
    <w:p w14:paraId="5D0DA24E" w14:textId="77777777" w:rsidR="00A25E6E" w:rsidRPr="000E19F3" w:rsidRDefault="00A25E6E" w:rsidP="000E19F3">
      <w:pPr>
        <w:pStyle w:val="Nadpis1"/>
        <w:rPr>
          <w:u w:val="single"/>
        </w:rPr>
      </w:pPr>
      <w:r>
        <w:br w:type="page"/>
      </w:r>
      <w:r w:rsidRPr="000E19F3">
        <w:rPr>
          <w:u w:val="single"/>
        </w:rPr>
        <w:lastRenderedPageBreak/>
        <w:t>příloha č. 2:</w:t>
      </w:r>
    </w:p>
    <w:p w14:paraId="6F186CB7" w14:textId="77777777" w:rsidR="00925CD6" w:rsidRDefault="00A25E6E" w:rsidP="000E19F3">
      <w:pPr>
        <w:pStyle w:val="Nadpis1"/>
      </w:pPr>
      <w:r>
        <w:t>odběrový diagram</w:t>
      </w:r>
    </w:p>
    <w:tbl>
      <w:tblPr>
        <w:tblW w:w="1016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320"/>
        <w:gridCol w:w="1926"/>
        <w:gridCol w:w="1701"/>
        <w:gridCol w:w="1812"/>
        <w:gridCol w:w="1711"/>
        <w:gridCol w:w="1699"/>
      </w:tblGrid>
      <w:tr w:rsidR="00B83E03" w:rsidRPr="00E25647" w14:paraId="36554955" w14:textId="77777777" w:rsidTr="000F513C">
        <w:trPr>
          <w:cantSplit/>
          <w:trHeight w:val="1111"/>
          <w:jc w:val="center"/>
        </w:trPr>
        <w:tc>
          <w:tcPr>
            <w:tcW w:w="1320" w:type="dxa"/>
            <w:shd w:val="clear" w:color="auto" w:fill="D9D9D9"/>
            <w:vAlign w:val="center"/>
          </w:tcPr>
          <w:p w14:paraId="170F9547" w14:textId="77777777" w:rsidR="00B83E03" w:rsidRPr="00611006" w:rsidRDefault="00B83E03" w:rsidP="00B83E03">
            <w:pPr>
              <w:spacing w:after="0"/>
              <w:jc w:val="center"/>
              <w:rPr>
                <w:b/>
              </w:rPr>
            </w:pPr>
            <w:r w:rsidRPr="00611006">
              <w:rPr>
                <w:b/>
              </w:rPr>
              <w:t>ČÍSLO ODBĚRNÉHO MÍSTA</w:t>
            </w:r>
          </w:p>
        </w:tc>
        <w:tc>
          <w:tcPr>
            <w:tcW w:w="1926" w:type="dxa"/>
            <w:shd w:val="clear" w:color="auto" w:fill="D9D9D9"/>
            <w:vAlign w:val="center"/>
          </w:tcPr>
          <w:p w14:paraId="4BDE94BE" w14:textId="77777777" w:rsidR="00B83E03" w:rsidRPr="00611006" w:rsidRDefault="00B83E03" w:rsidP="00B83E03">
            <w:pPr>
              <w:spacing w:after="0"/>
              <w:ind w:left="21" w:hanging="21"/>
              <w:jc w:val="center"/>
              <w:rPr>
                <w:b/>
              </w:rPr>
            </w:pPr>
            <w:r w:rsidRPr="00611006">
              <w:rPr>
                <w:b/>
              </w:rPr>
              <w:t>MĚSTO</w:t>
            </w:r>
            <w:r w:rsidR="00767825">
              <w:rPr>
                <w:b/>
              </w:rPr>
              <w:t>/OBEC</w:t>
            </w:r>
          </w:p>
        </w:tc>
        <w:tc>
          <w:tcPr>
            <w:tcW w:w="1701" w:type="dxa"/>
            <w:shd w:val="clear" w:color="auto" w:fill="D9D9D9"/>
            <w:vAlign w:val="center"/>
          </w:tcPr>
          <w:p w14:paraId="34FD0F98" w14:textId="5888C0B1" w:rsidR="00B83E03" w:rsidRPr="00611006" w:rsidRDefault="00B83E03" w:rsidP="00B83E03">
            <w:pPr>
              <w:spacing w:after="0"/>
              <w:jc w:val="center"/>
              <w:rPr>
                <w:b/>
              </w:rPr>
            </w:pPr>
            <w:r w:rsidRPr="00611006">
              <w:rPr>
                <w:b/>
              </w:rPr>
              <w:t>ULICE</w:t>
            </w:r>
            <w:r w:rsidR="000F513C">
              <w:rPr>
                <w:b/>
              </w:rPr>
              <w:t xml:space="preserve">, </w:t>
            </w:r>
            <w:r w:rsidR="000F513C" w:rsidRPr="00611006">
              <w:rPr>
                <w:b/>
              </w:rPr>
              <w:t>ČP.</w:t>
            </w:r>
          </w:p>
        </w:tc>
        <w:tc>
          <w:tcPr>
            <w:tcW w:w="1812" w:type="dxa"/>
            <w:shd w:val="clear" w:color="auto" w:fill="D9D9D9"/>
            <w:vAlign w:val="center"/>
          </w:tcPr>
          <w:p w14:paraId="6B4C1A80" w14:textId="3CC41A16" w:rsidR="00B83E03" w:rsidRPr="00611006" w:rsidRDefault="000F513C" w:rsidP="00B83E03">
            <w:pPr>
              <w:spacing w:after="0"/>
              <w:ind w:left="-38" w:firstLine="38"/>
              <w:jc w:val="center"/>
              <w:rPr>
                <w:b/>
              </w:rPr>
            </w:pPr>
            <w:r w:rsidRPr="00611006">
              <w:rPr>
                <w:b/>
              </w:rPr>
              <w:t>SMLUVNÍ ODBĚR TEPELNÉ ENERGIE GJ (ROČNÍ)</w:t>
            </w:r>
          </w:p>
        </w:tc>
        <w:tc>
          <w:tcPr>
            <w:tcW w:w="1711" w:type="dxa"/>
            <w:shd w:val="clear" w:color="auto" w:fill="D9D9D9"/>
            <w:vAlign w:val="center"/>
          </w:tcPr>
          <w:p w14:paraId="4B0F7A48" w14:textId="77777777" w:rsidR="00B83E03" w:rsidRDefault="000F513C" w:rsidP="00B83E03">
            <w:pPr>
              <w:spacing w:after="0"/>
              <w:jc w:val="center"/>
              <w:rPr>
                <w:b/>
              </w:rPr>
            </w:pPr>
            <w:r>
              <w:rPr>
                <w:b/>
              </w:rPr>
              <w:t>TEPELNÝ VÝKON KOTLE (</w:t>
            </w:r>
            <w:proofErr w:type="spellStart"/>
            <w:r>
              <w:rPr>
                <w:b/>
              </w:rPr>
              <w:t>KW</w:t>
            </w:r>
            <w:r w:rsidR="0078172D">
              <w:rPr>
                <w:b/>
                <w:vertAlign w:val="subscript"/>
              </w:rPr>
              <w:t>t</w:t>
            </w:r>
            <w:proofErr w:type="spellEnd"/>
            <w:r>
              <w:rPr>
                <w:b/>
              </w:rPr>
              <w:t>)</w:t>
            </w:r>
          </w:p>
          <w:p w14:paraId="61A189FF" w14:textId="54447754" w:rsidR="008E4FB4" w:rsidRPr="00611006" w:rsidRDefault="008E4FB4" w:rsidP="00B83E03">
            <w:pPr>
              <w:spacing w:after="0"/>
              <w:jc w:val="center"/>
              <w:rPr>
                <w:b/>
              </w:rPr>
            </w:pPr>
            <w:proofErr w:type="spellStart"/>
            <w:r>
              <w:rPr>
                <w:b/>
              </w:rPr>
              <w:t>Min.hodnota</w:t>
            </w:r>
            <w:proofErr w:type="spellEnd"/>
            <w:r>
              <w:rPr>
                <w:b/>
              </w:rPr>
              <w:t xml:space="preserve"> 120 kW</w:t>
            </w:r>
          </w:p>
        </w:tc>
        <w:tc>
          <w:tcPr>
            <w:tcW w:w="1699" w:type="dxa"/>
            <w:shd w:val="clear" w:color="auto" w:fill="D9D9D9"/>
            <w:vAlign w:val="center"/>
          </w:tcPr>
          <w:p w14:paraId="0D37F240" w14:textId="77777777" w:rsidR="00B83E03" w:rsidRPr="00611006" w:rsidRDefault="00B83E03" w:rsidP="00B83E03">
            <w:pPr>
              <w:spacing w:after="0"/>
              <w:jc w:val="center"/>
              <w:rPr>
                <w:b/>
              </w:rPr>
            </w:pPr>
            <w:r w:rsidRPr="00611006">
              <w:rPr>
                <w:b/>
              </w:rPr>
              <w:t>TEPELNÝ VÝKON K</w:t>
            </w:r>
            <w:r w:rsidR="00112711">
              <w:rPr>
                <w:b/>
              </w:rPr>
              <w:t>G</w:t>
            </w:r>
            <w:r w:rsidRPr="00611006">
              <w:rPr>
                <w:b/>
              </w:rPr>
              <w:t xml:space="preserve">J </w:t>
            </w:r>
            <w:r w:rsidR="00112711" w:rsidRPr="00611006">
              <w:rPr>
                <w:b/>
              </w:rPr>
              <w:t>(</w:t>
            </w:r>
            <w:proofErr w:type="spellStart"/>
            <w:r w:rsidR="00112711" w:rsidRPr="00611006">
              <w:rPr>
                <w:b/>
              </w:rPr>
              <w:t>KW</w:t>
            </w:r>
            <w:r w:rsidR="00112711">
              <w:rPr>
                <w:b/>
                <w:vertAlign w:val="subscript"/>
              </w:rPr>
              <w:t>t</w:t>
            </w:r>
            <w:proofErr w:type="spellEnd"/>
            <w:r w:rsidR="00112711" w:rsidRPr="00611006">
              <w:rPr>
                <w:b/>
              </w:rPr>
              <w:t>)</w:t>
            </w:r>
          </w:p>
        </w:tc>
      </w:tr>
      <w:tr w:rsidR="00B83E03" w:rsidRPr="00E25647" w14:paraId="5BA5978A" w14:textId="77777777" w:rsidTr="000F513C">
        <w:trPr>
          <w:cantSplit/>
          <w:trHeight w:val="454"/>
          <w:jc w:val="center"/>
        </w:trPr>
        <w:tc>
          <w:tcPr>
            <w:tcW w:w="1320" w:type="dxa"/>
            <w:tcBorders>
              <w:bottom w:val="double" w:sz="4" w:space="0" w:color="auto"/>
            </w:tcBorders>
            <w:vAlign w:val="center"/>
          </w:tcPr>
          <w:p w14:paraId="00EB11AF" w14:textId="77777777" w:rsidR="00B83E03" w:rsidRPr="00E25647" w:rsidRDefault="00D3154C" w:rsidP="00B83E03">
            <w:pPr>
              <w:spacing w:after="0"/>
              <w:jc w:val="center"/>
            </w:pPr>
            <w:r>
              <w:t>1</w:t>
            </w:r>
          </w:p>
        </w:tc>
        <w:tc>
          <w:tcPr>
            <w:tcW w:w="1926" w:type="dxa"/>
            <w:tcBorders>
              <w:bottom w:val="double" w:sz="4" w:space="0" w:color="auto"/>
            </w:tcBorders>
            <w:vAlign w:val="center"/>
          </w:tcPr>
          <w:p w14:paraId="551204D8" w14:textId="21B5D383" w:rsidR="00B83E03" w:rsidRPr="00E25647" w:rsidRDefault="00DA3DEB" w:rsidP="00B83E03">
            <w:pPr>
              <w:spacing w:after="0"/>
              <w:jc w:val="center"/>
            </w:pPr>
            <w:r>
              <w:t>Česká Třebová</w:t>
            </w:r>
          </w:p>
        </w:tc>
        <w:tc>
          <w:tcPr>
            <w:tcW w:w="1701" w:type="dxa"/>
            <w:tcBorders>
              <w:bottom w:val="double" w:sz="4" w:space="0" w:color="auto"/>
            </w:tcBorders>
            <w:vAlign w:val="center"/>
          </w:tcPr>
          <w:p w14:paraId="2F50BAFF" w14:textId="030ACC6B" w:rsidR="00B83E03" w:rsidRPr="00E25647" w:rsidRDefault="00DA3DEB" w:rsidP="00B83E03">
            <w:pPr>
              <w:spacing w:after="0"/>
              <w:jc w:val="center"/>
            </w:pPr>
            <w:r>
              <w:t>U teplárny, 617</w:t>
            </w:r>
          </w:p>
        </w:tc>
        <w:tc>
          <w:tcPr>
            <w:tcW w:w="1812" w:type="dxa"/>
            <w:tcBorders>
              <w:bottom w:val="double" w:sz="4" w:space="0" w:color="auto"/>
            </w:tcBorders>
            <w:vAlign w:val="center"/>
          </w:tcPr>
          <w:p w14:paraId="4722967D" w14:textId="0F36F969" w:rsidR="00B83E03" w:rsidRPr="00E25647" w:rsidRDefault="00DA3DEB" w:rsidP="00B83E03">
            <w:pPr>
              <w:spacing w:after="0"/>
              <w:jc w:val="center"/>
            </w:pPr>
            <w:r>
              <w:t>3978</w:t>
            </w:r>
          </w:p>
        </w:tc>
        <w:tc>
          <w:tcPr>
            <w:tcW w:w="1711" w:type="dxa"/>
            <w:tcBorders>
              <w:bottom w:val="double" w:sz="4" w:space="0" w:color="auto"/>
            </w:tcBorders>
            <w:vAlign w:val="center"/>
          </w:tcPr>
          <w:p w14:paraId="14F408B0" w14:textId="049E01CF" w:rsidR="00B83E03" w:rsidRPr="00DA3DEB" w:rsidRDefault="00B83E03" w:rsidP="00B83E03">
            <w:pPr>
              <w:spacing w:after="0"/>
              <w:jc w:val="center"/>
            </w:pPr>
          </w:p>
        </w:tc>
        <w:tc>
          <w:tcPr>
            <w:tcW w:w="1699" w:type="dxa"/>
            <w:tcBorders>
              <w:bottom w:val="double" w:sz="4" w:space="0" w:color="auto"/>
            </w:tcBorders>
            <w:vAlign w:val="center"/>
          </w:tcPr>
          <w:p w14:paraId="70FE0227" w14:textId="368AC46B" w:rsidR="00B83E03" w:rsidRPr="00DA3DEB" w:rsidRDefault="00B83E03" w:rsidP="00B83E03">
            <w:pPr>
              <w:spacing w:after="0"/>
              <w:jc w:val="center"/>
            </w:pPr>
          </w:p>
        </w:tc>
      </w:tr>
      <w:tr w:rsidR="00B83E03" w:rsidRPr="00E25647" w14:paraId="02389E6B" w14:textId="77777777" w:rsidTr="000F513C">
        <w:trPr>
          <w:cantSplit/>
          <w:trHeight w:val="454"/>
          <w:jc w:val="center"/>
        </w:trPr>
        <w:tc>
          <w:tcPr>
            <w:tcW w:w="1320" w:type="dxa"/>
            <w:tcBorders>
              <w:top w:val="double" w:sz="4" w:space="0" w:color="auto"/>
              <w:bottom w:val="single" w:sz="12" w:space="0" w:color="auto"/>
            </w:tcBorders>
            <w:vAlign w:val="center"/>
          </w:tcPr>
          <w:p w14:paraId="7AB36F42" w14:textId="77777777" w:rsidR="00B83E03" w:rsidRPr="00611006" w:rsidRDefault="00B83E03" w:rsidP="00B83E03">
            <w:pPr>
              <w:spacing w:after="0"/>
              <w:jc w:val="center"/>
              <w:rPr>
                <w:b/>
              </w:rPr>
            </w:pPr>
            <w:r w:rsidRPr="00611006">
              <w:rPr>
                <w:b/>
              </w:rPr>
              <w:t>CELKEM</w:t>
            </w:r>
          </w:p>
        </w:tc>
        <w:tc>
          <w:tcPr>
            <w:tcW w:w="1926" w:type="dxa"/>
            <w:tcBorders>
              <w:top w:val="double" w:sz="4" w:space="0" w:color="auto"/>
              <w:bottom w:val="single" w:sz="12" w:space="0" w:color="auto"/>
            </w:tcBorders>
            <w:vAlign w:val="center"/>
          </w:tcPr>
          <w:p w14:paraId="50C026EB" w14:textId="77777777" w:rsidR="00B83E03" w:rsidRPr="00611006" w:rsidRDefault="00B83E03" w:rsidP="00B83E03">
            <w:pPr>
              <w:spacing w:after="0"/>
              <w:jc w:val="center"/>
              <w:rPr>
                <w:b/>
              </w:rPr>
            </w:pPr>
          </w:p>
        </w:tc>
        <w:tc>
          <w:tcPr>
            <w:tcW w:w="1701" w:type="dxa"/>
            <w:tcBorders>
              <w:top w:val="double" w:sz="4" w:space="0" w:color="auto"/>
              <w:bottom w:val="single" w:sz="12" w:space="0" w:color="auto"/>
            </w:tcBorders>
            <w:vAlign w:val="center"/>
          </w:tcPr>
          <w:p w14:paraId="76A1ED98" w14:textId="77777777" w:rsidR="00B83E03" w:rsidRPr="00611006" w:rsidRDefault="00B83E03" w:rsidP="00B83E03">
            <w:pPr>
              <w:spacing w:after="0"/>
              <w:jc w:val="center"/>
              <w:rPr>
                <w:b/>
              </w:rPr>
            </w:pPr>
          </w:p>
        </w:tc>
        <w:tc>
          <w:tcPr>
            <w:tcW w:w="1812" w:type="dxa"/>
            <w:tcBorders>
              <w:top w:val="double" w:sz="4" w:space="0" w:color="auto"/>
              <w:bottom w:val="single" w:sz="12" w:space="0" w:color="auto"/>
            </w:tcBorders>
            <w:vAlign w:val="center"/>
          </w:tcPr>
          <w:p w14:paraId="3D24D375" w14:textId="77777777" w:rsidR="00B83E03" w:rsidRPr="00611006" w:rsidRDefault="00B83E03" w:rsidP="00B83E03">
            <w:pPr>
              <w:spacing w:after="0"/>
              <w:jc w:val="center"/>
              <w:rPr>
                <w:b/>
              </w:rPr>
            </w:pPr>
          </w:p>
        </w:tc>
        <w:tc>
          <w:tcPr>
            <w:tcW w:w="1711" w:type="dxa"/>
            <w:tcBorders>
              <w:top w:val="double" w:sz="4" w:space="0" w:color="auto"/>
              <w:bottom w:val="single" w:sz="12" w:space="0" w:color="auto"/>
            </w:tcBorders>
            <w:vAlign w:val="center"/>
          </w:tcPr>
          <w:p w14:paraId="48D1176E" w14:textId="7AA89878" w:rsidR="00B83E03" w:rsidRPr="00611006" w:rsidRDefault="00B83E03" w:rsidP="00B83E03">
            <w:pPr>
              <w:spacing w:after="0"/>
              <w:jc w:val="center"/>
              <w:rPr>
                <w:b/>
              </w:rPr>
            </w:pPr>
          </w:p>
        </w:tc>
        <w:tc>
          <w:tcPr>
            <w:tcW w:w="1699" w:type="dxa"/>
            <w:tcBorders>
              <w:top w:val="double" w:sz="4" w:space="0" w:color="auto"/>
              <w:bottom w:val="single" w:sz="12" w:space="0" w:color="auto"/>
            </w:tcBorders>
            <w:vAlign w:val="center"/>
          </w:tcPr>
          <w:p w14:paraId="187CAE54" w14:textId="08FD5B6A" w:rsidR="00B83E03" w:rsidRPr="00611006" w:rsidRDefault="00B83E03" w:rsidP="00B83E03">
            <w:pPr>
              <w:spacing w:after="0"/>
              <w:jc w:val="center"/>
              <w:rPr>
                <w:b/>
              </w:rPr>
            </w:pPr>
          </w:p>
        </w:tc>
      </w:tr>
    </w:tbl>
    <w:p w14:paraId="51221070" w14:textId="77777777" w:rsidR="008F29D8" w:rsidRPr="00611006" w:rsidRDefault="00611006" w:rsidP="000E19F3">
      <w:pPr>
        <w:pStyle w:val="Nadpis1"/>
        <w:spacing w:before="720"/>
      </w:pPr>
      <w:r w:rsidRPr="00611006">
        <w:t xml:space="preserve">PŘEDPOKLÁDANÝ ČASOVÝ PRŮBĚH ODBĚRU TEPELNÉ </w:t>
      </w:r>
      <w:r>
        <w:t>ENERGIE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842"/>
      </w:tblGrid>
      <w:tr w:rsidR="00B83E03" w:rsidRPr="00666A20" w14:paraId="013C072E" w14:textId="77777777" w:rsidTr="00574A99">
        <w:trPr>
          <w:jc w:val="center"/>
        </w:trPr>
        <w:tc>
          <w:tcPr>
            <w:tcW w:w="1668" w:type="dxa"/>
            <w:shd w:val="clear" w:color="auto" w:fill="D9D9D9"/>
            <w:vAlign w:val="center"/>
          </w:tcPr>
          <w:p w14:paraId="22DD80EB" w14:textId="77777777" w:rsidR="00B83E03" w:rsidRPr="00666A20" w:rsidRDefault="00B83E03" w:rsidP="00666A20">
            <w:pPr>
              <w:spacing w:after="0"/>
              <w:jc w:val="center"/>
              <w:rPr>
                <w:b/>
              </w:rPr>
            </w:pPr>
            <w:r w:rsidRPr="00666A20">
              <w:rPr>
                <w:b/>
              </w:rPr>
              <w:t>MĚSÍC</w:t>
            </w:r>
          </w:p>
        </w:tc>
        <w:tc>
          <w:tcPr>
            <w:tcW w:w="1842" w:type="dxa"/>
            <w:shd w:val="clear" w:color="auto" w:fill="D9D9D9"/>
            <w:vAlign w:val="center"/>
          </w:tcPr>
          <w:p w14:paraId="26A774E4" w14:textId="77777777" w:rsidR="00B83E03" w:rsidRPr="00666A20" w:rsidRDefault="00B83E03" w:rsidP="00666A20">
            <w:pPr>
              <w:spacing w:after="0"/>
              <w:jc w:val="center"/>
              <w:rPr>
                <w:b/>
              </w:rPr>
            </w:pPr>
            <w:r w:rsidRPr="00666A20">
              <w:rPr>
                <w:b/>
              </w:rPr>
              <w:t>ODBĚR TEPELNÉ ENERGIE V GJ</w:t>
            </w:r>
          </w:p>
        </w:tc>
      </w:tr>
      <w:tr w:rsidR="00B83E03" w:rsidRPr="00C20E6C" w14:paraId="22D09FD8" w14:textId="77777777" w:rsidTr="00611006">
        <w:trPr>
          <w:trHeight w:val="454"/>
          <w:jc w:val="center"/>
        </w:trPr>
        <w:tc>
          <w:tcPr>
            <w:tcW w:w="1668" w:type="dxa"/>
            <w:shd w:val="clear" w:color="auto" w:fill="auto"/>
            <w:vAlign w:val="center"/>
          </w:tcPr>
          <w:p w14:paraId="76EC1399" w14:textId="77777777" w:rsidR="00B83E03" w:rsidRPr="00C20E6C" w:rsidRDefault="00B83E03" w:rsidP="00666A20">
            <w:pPr>
              <w:spacing w:after="0"/>
              <w:jc w:val="left"/>
            </w:pPr>
            <w:r w:rsidRPr="00C20E6C">
              <w:t>LEDEN</w:t>
            </w:r>
          </w:p>
        </w:tc>
        <w:tc>
          <w:tcPr>
            <w:tcW w:w="1842" w:type="dxa"/>
            <w:shd w:val="clear" w:color="auto" w:fill="auto"/>
            <w:vAlign w:val="center"/>
          </w:tcPr>
          <w:p w14:paraId="59B8D502" w14:textId="1C9FB7E4" w:rsidR="00B83E03" w:rsidRPr="00C20E6C" w:rsidRDefault="00C20E6C" w:rsidP="00666A20">
            <w:pPr>
              <w:spacing w:after="0"/>
              <w:jc w:val="center"/>
            </w:pPr>
            <w:r w:rsidRPr="00C20E6C">
              <w:t>542</w:t>
            </w:r>
          </w:p>
        </w:tc>
      </w:tr>
      <w:tr w:rsidR="00B83E03" w:rsidRPr="00C20E6C" w14:paraId="2341AB21" w14:textId="77777777" w:rsidTr="00611006">
        <w:trPr>
          <w:trHeight w:val="454"/>
          <w:jc w:val="center"/>
        </w:trPr>
        <w:tc>
          <w:tcPr>
            <w:tcW w:w="1668" w:type="dxa"/>
            <w:shd w:val="clear" w:color="auto" w:fill="auto"/>
            <w:vAlign w:val="center"/>
          </w:tcPr>
          <w:p w14:paraId="3890ED72" w14:textId="77777777" w:rsidR="00B83E03" w:rsidRPr="00C20E6C" w:rsidRDefault="00B83E03" w:rsidP="00666A20">
            <w:pPr>
              <w:spacing w:after="0"/>
              <w:jc w:val="left"/>
            </w:pPr>
            <w:r w:rsidRPr="00C20E6C">
              <w:t>ÚNOR</w:t>
            </w:r>
          </w:p>
        </w:tc>
        <w:tc>
          <w:tcPr>
            <w:tcW w:w="1842" w:type="dxa"/>
            <w:shd w:val="clear" w:color="auto" w:fill="auto"/>
            <w:vAlign w:val="center"/>
          </w:tcPr>
          <w:p w14:paraId="2AF20F4C" w14:textId="097940D6" w:rsidR="00B83E03" w:rsidRPr="00C20E6C" w:rsidRDefault="00C20E6C" w:rsidP="00666A20">
            <w:pPr>
              <w:spacing w:after="0"/>
              <w:jc w:val="center"/>
            </w:pPr>
            <w:r w:rsidRPr="00C20E6C">
              <w:t>479</w:t>
            </w:r>
          </w:p>
        </w:tc>
      </w:tr>
      <w:tr w:rsidR="00B83E03" w:rsidRPr="00C20E6C" w14:paraId="40EE4773" w14:textId="77777777" w:rsidTr="00611006">
        <w:trPr>
          <w:trHeight w:val="454"/>
          <w:jc w:val="center"/>
        </w:trPr>
        <w:tc>
          <w:tcPr>
            <w:tcW w:w="1668" w:type="dxa"/>
            <w:shd w:val="clear" w:color="auto" w:fill="auto"/>
            <w:vAlign w:val="center"/>
          </w:tcPr>
          <w:p w14:paraId="294EE6A2" w14:textId="77777777" w:rsidR="00B83E03" w:rsidRPr="00C20E6C" w:rsidRDefault="00B83E03" w:rsidP="00666A20">
            <w:pPr>
              <w:spacing w:after="0"/>
              <w:jc w:val="left"/>
            </w:pPr>
            <w:r w:rsidRPr="00C20E6C">
              <w:t>BŘEZEN</w:t>
            </w:r>
          </w:p>
        </w:tc>
        <w:tc>
          <w:tcPr>
            <w:tcW w:w="1842" w:type="dxa"/>
            <w:shd w:val="clear" w:color="auto" w:fill="auto"/>
            <w:vAlign w:val="center"/>
          </w:tcPr>
          <w:p w14:paraId="52F29FEE" w14:textId="5842A3B3" w:rsidR="00B83E03" w:rsidRPr="00C20E6C" w:rsidRDefault="00C20E6C" w:rsidP="00666A20">
            <w:pPr>
              <w:spacing w:after="0"/>
              <w:jc w:val="center"/>
            </w:pPr>
            <w:r w:rsidRPr="00C20E6C">
              <w:t>453</w:t>
            </w:r>
          </w:p>
        </w:tc>
      </w:tr>
      <w:tr w:rsidR="00B83E03" w:rsidRPr="00C20E6C" w14:paraId="29986883" w14:textId="77777777" w:rsidTr="00611006">
        <w:trPr>
          <w:trHeight w:val="454"/>
          <w:jc w:val="center"/>
        </w:trPr>
        <w:tc>
          <w:tcPr>
            <w:tcW w:w="1668" w:type="dxa"/>
            <w:shd w:val="clear" w:color="auto" w:fill="auto"/>
            <w:vAlign w:val="center"/>
          </w:tcPr>
          <w:p w14:paraId="1037E664" w14:textId="77777777" w:rsidR="00B83E03" w:rsidRPr="00C20E6C" w:rsidRDefault="00B83E03" w:rsidP="00666A20">
            <w:pPr>
              <w:spacing w:after="0"/>
              <w:jc w:val="left"/>
            </w:pPr>
            <w:r w:rsidRPr="00C20E6C">
              <w:t>DUBEN</w:t>
            </w:r>
          </w:p>
        </w:tc>
        <w:tc>
          <w:tcPr>
            <w:tcW w:w="1842" w:type="dxa"/>
            <w:shd w:val="clear" w:color="auto" w:fill="auto"/>
            <w:vAlign w:val="center"/>
          </w:tcPr>
          <w:p w14:paraId="4B8E351D" w14:textId="6BDE24B1" w:rsidR="00B83E03" w:rsidRPr="00C20E6C" w:rsidRDefault="00C20E6C" w:rsidP="00666A20">
            <w:pPr>
              <w:spacing w:after="0"/>
              <w:jc w:val="center"/>
            </w:pPr>
            <w:r w:rsidRPr="00C20E6C">
              <w:t>317</w:t>
            </w:r>
          </w:p>
        </w:tc>
      </w:tr>
      <w:tr w:rsidR="00B83E03" w:rsidRPr="00C20E6C" w14:paraId="7A310F12" w14:textId="77777777" w:rsidTr="00611006">
        <w:trPr>
          <w:trHeight w:val="454"/>
          <w:jc w:val="center"/>
        </w:trPr>
        <w:tc>
          <w:tcPr>
            <w:tcW w:w="1668" w:type="dxa"/>
            <w:shd w:val="clear" w:color="auto" w:fill="auto"/>
            <w:vAlign w:val="center"/>
          </w:tcPr>
          <w:p w14:paraId="56EE2E4C" w14:textId="77777777" w:rsidR="00B83E03" w:rsidRPr="00C20E6C" w:rsidRDefault="00B83E03" w:rsidP="00666A20">
            <w:pPr>
              <w:spacing w:after="0"/>
              <w:jc w:val="left"/>
            </w:pPr>
            <w:r w:rsidRPr="00C20E6C">
              <w:t>KVĚTEN</w:t>
            </w:r>
          </w:p>
        </w:tc>
        <w:tc>
          <w:tcPr>
            <w:tcW w:w="1842" w:type="dxa"/>
            <w:shd w:val="clear" w:color="auto" w:fill="auto"/>
            <w:vAlign w:val="center"/>
          </w:tcPr>
          <w:p w14:paraId="0A73091B" w14:textId="63722966" w:rsidR="00B83E03" w:rsidRPr="00C20E6C" w:rsidRDefault="00C20E6C" w:rsidP="00666A20">
            <w:pPr>
              <w:spacing w:after="0"/>
              <w:jc w:val="center"/>
            </w:pPr>
            <w:r w:rsidRPr="00C20E6C">
              <w:t>238</w:t>
            </w:r>
          </w:p>
        </w:tc>
      </w:tr>
      <w:tr w:rsidR="00B83E03" w:rsidRPr="00C20E6C" w14:paraId="539935F7" w14:textId="77777777" w:rsidTr="00611006">
        <w:trPr>
          <w:trHeight w:val="454"/>
          <w:jc w:val="center"/>
        </w:trPr>
        <w:tc>
          <w:tcPr>
            <w:tcW w:w="1668" w:type="dxa"/>
            <w:shd w:val="clear" w:color="auto" w:fill="auto"/>
            <w:vAlign w:val="center"/>
          </w:tcPr>
          <w:p w14:paraId="471C2391" w14:textId="77777777" w:rsidR="00B83E03" w:rsidRPr="00C20E6C" w:rsidRDefault="00B83E03" w:rsidP="00666A20">
            <w:pPr>
              <w:spacing w:after="0"/>
              <w:jc w:val="left"/>
            </w:pPr>
            <w:r w:rsidRPr="00C20E6C">
              <w:t>ČERVEN</w:t>
            </w:r>
          </w:p>
        </w:tc>
        <w:tc>
          <w:tcPr>
            <w:tcW w:w="1842" w:type="dxa"/>
            <w:shd w:val="clear" w:color="auto" w:fill="auto"/>
            <w:vAlign w:val="center"/>
          </w:tcPr>
          <w:p w14:paraId="1D8D5F99" w14:textId="722DA0CF" w:rsidR="00B83E03" w:rsidRPr="00C20E6C" w:rsidRDefault="00C20E6C" w:rsidP="00666A20">
            <w:pPr>
              <w:spacing w:after="0"/>
              <w:jc w:val="center"/>
            </w:pPr>
            <w:r w:rsidRPr="00C20E6C">
              <w:t>158</w:t>
            </w:r>
          </w:p>
        </w:tc>
      </w:tr>
      <w:tr w:rsidR="00B83E03" w:rsidRPr="00C20E6C" w14:paraId="1CF2885B" w14:textId="77777777" w:rsidTr="00611006">
        <w:trPr>
          <w:trHeight w:val="454"/>
          <w:jc w:val="center"/>
        </w:trPr>
        <w:tc>
          <w:tcPr>
            <w:tcW w:w="1668" w:type="dxa"/>
            <w:shd w:val="clear" w:color="auto" w:fill="auto"/>
            <w:vAlign w:val="center"/>
          </w:tcPr>
          <w:p w14:paraId="37B82637" w14:textId="77777777" w:rsidR="00B83E03" w:rsidRPr="00C20E6C" w:rsidRDefault="00B83E03" w:rsidP="00666A20">
            <w:pPr>
              <w:spacing w:after="0"/>
              <w:jc w:val="left"/>
            </w:pPr>
            <w:r w:rsidRPr="00C20E6C">
              <w:t>ČERVENEC</w:t>
            </w:r>
          </w:p>
        </w:tc>
        <w:tc>
          <w:tcPr>
            <w:tcW w:w="1842" w:type="dxa"/>
            <w:shd w:val="clear" w:color="auto" w:fill="auto"/>
            <w:vAlign w:val="center"/>
          </w:tcPr>
          <w:p w14:paraId="2E9ECB85" w14:textId="04F4402B" w:rsidR="00B83E03" w:rsidRPr="00C20E6C" w:rsidRDefault="00C20E6C" w:rsidP="00666A20">
            <w:pPr>
              <w:spacing w:after="0"/>
              <w:jc w:val="center"/>
            </w:pPr>
            <w:r w:rsidRPr="00C20E6C">
              <w:t>182</w:t>
            </w:r>
          </w:p>
        </w:tc>
      </w:tr>
      <w:tr w:rsidR="00B83E03" w:rsidRPr="00C20E6C" w14:paraId="5B3E22A0" w14:textId="77777777" w:rsidTr="00611006">
        <w:trPr>
          <w:trHeight w:val="454"/>
          <w:jc w:val="center"/>
        </w:trPr>
        <w:tc>
          <w:tcPr>
            <w:tcW w:w="1668" w:type="dxa"/>
            <w:shd w:val="clear" w:color="auto" w:fill="auto"/>
            <w:vAlign w:val="center"/>
          </w:tcPr>
          <w:p w14:paraId="1F65D923" w14:textId="77777777" w:rsidR="00B83E03" w:rsidRPr="00C20E6C" w:rsidRDefault="00B83E03" w:rsidP="00666A20">
            <w:pPr>
              <w:spacing w:after="0"/>
              <w:jc w:val="left"/>
            </w:pPr>
            <w:r w:rsidRPr="00C20E6C">
              <w:t>SRPEN</w:t>
            </w:r>
          </w:p>
        </w:tc>
        <w:tc>
          <w:tcPr>
            <w:tcW w:w="1842" w:type="dxa"/>
            <w:shd w:val="clear" w:color="auto" w:fill="auto"/>
            <w:vAlign w:val="center"/>
          </w:tcPr>
          <w:p w14:paraId="2147D188" w14:textId="064E0ECC" w:rsidR="00B83E03" w:rsidRPr="00C20E6C" w:rsidRDefault="00C20E6C" w:rsidP="00666A20">
            <w:pPr>
              <w:spacing w:after="0"/>
              <w:jc w:val="center"/>
            </w:pPr>
            <w:r w:rsidRPr="00C20E6C">
              <w:t>169</w:t>
            </w:r>
          </w:p>
        </w:tc>
      </w:tr>
      <w:tr w:rsidR="00B83E03" w:rsidRPr="00C20E6C" w14:paraId="5666BDC6" w14:textId="77777777" w:rsidTr="00611006">
        <w:trPr>
          <w:trHeight w:val="454"/>
          <w:jc w:val="center"/>
        </w:trPr>
        <w:tc>
          <w:tcPr>
            <w:tcW w:w="1668" w:type="dxa"/>
            <w:shd w:val="clear" w:color="auto" w:fill="auto"/>
            <w:vAlign w:val="center"/>
          </w:tcPr>
          <w:p w14:paraId="79C33441" w14:textId="77777777" w:rsidR="00B83E03" w:rsidRPr="00C20E6C" w:rsidRDefault="00B83E03" w:rsidP="00666A20">
            <w:pPr>
              <w:spacing w:after="0"/>
              <w:jc w:val="left"/>
            </w:pPr>
            <w:r w:rsidRPr="00C20E6C">
              <w:t>ZÁŘÍ</w:t>
            </w:r>
          </w:p>
        </w:tc>
        <w:tc>
          <w:tcPr>
            <w:tcW w:w="1842" w:type="dxa"/>
            <w:shd w:val="clear" w:color="auto" w:fill="auto"/>
            <w:vAlign w:val="center"/>
          </w:tcPr>
          <w:p w14:paraId="50B8A38A" w14:textId="3C4B5D80" w:rsidR="00B83E03" w:rsidRPr="00C20E6C" w:rsidRDefault="00C20E6C" w:rsidP="00666A20">
            <w:pPr>
              <w:spacing w:after="0"/>
              <w:jc w:val="center"/>
            </w:pPr>
            <w:r w:rsidRPr="00C20E6C">
              <w:t>210</w:t>
            </w:r>
          </w:p>
        </w:tc>
      </w:tr>
      <w:tr w:rsidR="00B83E03" w:rsidRPr="00C20E6C" w14:paraId="29D77B39" w14:textId="77777777" w:rsidTr="00611006">
        <w:trPr>
          <w:trHeight w:val="454"/>
          <w:jc w:val="center"/>
        </w:trPr>
        <w:tc>
          <w:tcPr>
            <w:tcW w:w="1668" w:type="dxa"/>
            <w:shd w:val="clear" w:color="auto" w:fill="auto"/>
            <w:vAlign w:val="center"/>
          </w:tcPr>
          <w:p w14:paraId="3E8B2A33" w14:textId="77777777" w:rsidR="00B83E03" w:rsidRPr="00C20E6C" w:rsidRDefault="00B83E03" w:rsidP="00666A20">
            <w:pPr>
              <w:spacing w:after="0"/>
              <w:jc w:val="left"/>
            </w:pPr>
            <w:r w:rsidRPr="00C20E6C">
              <w:t>ŘÍJEN</w:t>
            </w:r>
          </w:p>
        </w:tc>
        <w:tc>
          <w:tcPr>
            <w:tcW w:w="1842" w:type="dxa"/>
            <w:shd w:val="clear" w:color="auto" w:fill="auto"/>
            <w:vAlign w:val="center"/>
          </w:tcPr>
          <w:p w14:paraId="7BDEB520" w14:textId="409E26BD" w:rsidR="00B83E03" w:rsidRPr="00C20E6C" w:rsidRDefault="00C20E6C" w:rsidP="00666A20">
            <w:pPr>
              <w:spacing w:after="0"/>
              <w:jc w:val="center"/>
            </w:pPr>
            <w:r w:rsidRPr="00C20E6C">
              <w:t>332</w:t>
            </w:r>
          </w:p>
        </w:tc>
      </w:tr>
      <w:tr w:rsidR="00B83E03" w:rsidRPr="00C20E6C" w14:paraId="0916FC18" w14:textId="77777777" w:rsidTr="00611006">
        <w:trPr>
          <w:trHeight w:val="454"/>
          <w:jc w:val="center"/>
        </w:trPr>
        <w:tc>
          <w:tcPr>
            <w:tcW w:w="1668" w:type="dxa"/>
            <w:shd w:val="clear" w:color="auto" w:fill="auto"/>
            <w:vAlign w:val="center"/>
          </w:tcPr>
          <w:p w14:paraId="4A9EF114" w14:textId="77777777" w:rsidR="00B83E03" w:rsidRPr="00C20E6C" w:rsidRDefault="00B83E03" w:rsidP="00666A20">
            <w:pPr>
              <w:spacing w:after="0"/>
              <w:jc w:val="left"/>
            </w:pPr>
            <w:r w:rsidRPr="00C20E6C">
              <w:t>LISTOPAD</w:t>
            </w:r>
          </w:p>
        </w:tc>
        <w:tc>
          <w:tcPr>
            <w:tcW w:w="1842" w:type="dxa"/>
            <w:shd w:val="clear" w:color="auto" w:fill="auto"/>
            <w:vAlign w:val="center"/>
          </w:tcPr>
          <w:p w14:paraId="4E936F05" w14:textId="6ED0E01E" w:rsidR="00B83E03" w:rsidRPr="00C20E6C" w:rsidRDefault="00C20E6C" w:rsidP="00666A20">
            <w:pPr>
              <w:spacing w:after="0"/>
              <w:jc w:val="center"/>
            </w:pPr>
            <w:r w:rsidRPr="00C20E6C">
              <w:t>409</w:t>
            </w:r>
          </w:p>
        </w:tc>
      </w:tr>
      <w:tr w:rsidR="00B83E03" w:rsidRPr="00C20E6C" w14:paraId="0263A4A8" w14:textId="77777777" w:rsidTr="00611006">
        <w:trPr>
          <w:trHeight w:val="454"/>
          <w:jc w:val="center"/>
        </w:trPr>
        <w:tc>
          <w:tcPr>
            <w:tcW w:w="1668" w:type="dxa"/>
            <w:tcBorders>
              <w:bottom w:val="double" w:sz="4" w:space="0" w:color="auto"/>
            </w:tcBorders>
            <w:shd w:val="clear" w:color="auto" w:fill="auto"/>
            <w:vAlign w:val="center"/>
          </w:tcPr>
          <w:p w14:paraId="51D1E010" w14:textId="77777777" w:rsidR="00B83E03" w:rsidRPr="00C20E6C" w:rsidRDefault="00B83E03" w:rsidP="00666A20">
            <w:pPr>
              <w:spacing w:after="0"/>
              <w:jc w:val="left"/>
            </w:pPr>
            <w:r w:rsidRPr="00C20E6C">
              <w:t>PROSINEC</w:t>
            </w:r>
          </w:p>
        </w:tc>
        <w:tc>
          <w:tcPr>
            <w:tcW w:w="1842" w:type="dxa"/>
            <w:tcBorders>
              <w:bottom w:val="double" w:sz="4" w:space="0" w:color="auto"/>
            </w:tcBorders>
            <w:shd w:val="clear" w:color="auto" w:fill="auto"/>
            <w:vAlign w:val="center"/>
          </w:tcPr>
          <w:p w14:paraId="7B8D9A41" w14:textId="42E08A11" w:rsidR="00B83E03" w:rsidRPr="00C20E6C" w:rsidRDefault="00C20E6C" w:rsidP="00666A20">
            <w:pPr>
              <w:spacing w:after="0"/>
              <w:jc w:val="center"/>
            </w:pPr>
            <w:r w:rsidRPr="00C20E6C">
              <w:t>489</w:t>
            </w:r>
          </w:p>
        </w:tc>
      </w:tr>
      <w:tr w:rsidR="00B83E03" w:rsidRPr="00666A20" w14:paraId="69E02F41" w14:textId="77777777" w:rsidTr="00611006">
        <w:trPr>
          <w:trHeight w:val="454"/>
          <w:jc w:val="center"/>
        </w:trPr>
        <w:tc>
          <w:tcPr>
            <w:tcW w:w="1668" w:type="dxa"/>
            <w:tcBorders>
              <w:top w:val="double" w:sz="4" w:space="0" w:color="auto"/>
            </w:tcBorders>
            <w:shd w:val="clear" w:color="auto" w:fill="auto"/>
            <w:vAlign w:val="center"/>
          </w:tcPr>
          <w:p w14:paraId="43B06A04" w14:textId="77777777" w:rsidR="00B83E03" w:rsidRPr="00C20E6C" w:rsidRDefault="00B83E03" w:rsidP="00666A20">
            <w:pPr>
              <w:spacing w:after="0"/>
              <w:jc w:val="left"/>
              <w:rPr>
                <w:b/>
              </w:rPr>
            </w:pPr>
            <w:r w:rsidRPr="00C20E6C">
              <w:rPr>
                <w:b/>
              </w:rPr>
              <w:t>CELKEM</w:t>
            </w:r>
          </w:p>
        </w:tc>
        <w:tc>
          <w:tcPr>
            <w:tcW w:w="1842" w:type="dxa"/>
            <w:tcBorders>
              <w:top w:val="double" w:sz="4" w:space="0" w:color="auto"/>
            </w:tcBorders>
            <w:shd w:val="clear" w:color="auto" w:fill="auto"/>
            <w:vAlign w:val="center"/>
          </w:tcPr>
          <w:p w14:paraId="61E00301" w14:textId="4E6C6CB3" w:rsidR="00C20E6C" w:rsidRPr="00C20E6C" w:rsidRDefault="00C20E6C" w:rsidP="00C20E6C">
            <w:pPr>
              <w:spacing w:after="0"/>
              <w:jc w:val="center"/>
              <w:rPr>
                <w:b/>
              </w:rPr>
            </w:pPr>
            <w:r w:rsidRPr="00C20E6C">
              <w:rPr>
                <w:b/>
              </w:rPr>
              <w:t>3978</w:t>
            </w:r>
          </w:p>
        </w:tc>
      </w:tr>
    </w:tbl>
    <w:p w14:paraId="5881AE0C" w14:textId="4032BAFD" w:rsidR="00611006" w:rsidRDefault="00611006" w:rsidP="00140AA9">
      <w:pPr>
        <w:rPr>
          <w:b/>
        </w:rPr>
      </w:pPr>
    </w:p>
    <w:p w14:paraId="753C45A3" w14:textId="2B846CA1" w:rsidR="00A77114" w:rsidRDefault="00A77114" w:rsidP="00140AA9">
      <w:pPr>
        <w:rPr>
          <w:b/>
        </w:rPr>
      </w:pPr>
    </w:p>
    <w:p w14:paraId="12481A02" w14:textId="731A7712" w:rsidR="00A77114" w:rsidRDefault="00A77114" w:rsidP="00140AA9">
      <w:pPr>
        <w:rPr>
          <w:b/>
        </w:rPr>
      </w:pPr>
    </w:p>
    <w:p w14:paraId="5956DE28" w14:textId="74957EAB" w:rsidR="00A77114" w:rsidRDefault="00A77114" w:rsidP="00140AA9">
      <w:pPr>
        <w:rPr>
          <w:b/>
        </w:rPr>
      </w:pPr>
    </w:p>
    <w:p w14:paraId="262953AB" w14:textId="1A7B902E" w:rsidR="00A77114" w:rsidRDefault="00A77114" w:rsidP="00140AA9">
      <w:pPr>
        <w:rPr>
          <w:b/>
        </w:rPr>
      </w:pPr>
    </w:p>
    <w:p w14:paraId="1156EC03" w14:textId="4EA8E483" w:rsidR="00A77114" w:rsidRDefault="00A77114" w:rsidP="00140AA9">
      <w:pPr>
        <w:rPr>
          <w:b/>
        </w:rPr>
      </w:pPr>
    </w:p>
    <w:p w14:paraId="405362FC" w14:textId="5A093EE1" w:rsidR="00A77114" w:rsidRDefault="00A77114" w:rsidP="00140AA9">
      <w:pPr>
        <w:rPr>
          <w:b/>
        </w:rPr>
      </w:pPr>
    </w:p>
    <w:p w14:paraId="2FBE15B5" w14:textId="77777777" w:rsidR="00A77114" w:rsidRDefault="00A77114" w:rsidP="00140AA9">
      <w:pPr>
        <w:rPr>
          <w:b/>
        </w:rPr>
      </w:pPr>
    </w:p>
    <w:p w14:paraId="2C3AE0B5" w14:textId="77777777" w:rsidR="00BF4D3F" w:rsidRPr="004279E8" w:rsidRDefault="00BF4D3F" w:rsidP="00BF4D3F">
      <w:pPr>
        <w:pStyle w:val="Nadpis1"/>
        <w:rPr>
          <w:u w:val="single"/>
        </w:rPr>
      </w:pPr>
      <w:r w:rsidRPr="004279E8">
        <w:rPr>
          <w:u w:val="single"/>
        </w:rPr>
        <w:lastRenderedPageBreak/>
        <w:t xml:space="preserve">příloha č. </w:t>
      </w:r>
      <w:r w:rsidR="004A1A05" w:rsidRPr="004279E8">
        <w:rPr>
          <w:u w:val="single"/>
        </w:rPr>
        <w:t>3</w:t>
      </w:r>
      <w:r w:rsidRPr="004279E8">
        <w:rPr>
          <w:u w:val="single"/>
        </w:rPr>
        <w:t>:</w:t>
      </w:r>
    </w:p>
    <w:p w14:paraId="69CB3999" w14:textId="77777777" w:rsidR="00BF4D3F" w:rsidRDefault="00BF4D3F" w:rsidP="00BF4D3F">
      <w:pPr>
        <w:pStyle w:val="Nadpis1"/>
      </w:pPr>
      <w:r w:rsidRPr="004279E8">
        <w:t>Potvrzení o pojištění odpovědnosti</w:t>
      </w:r>
    </w:p>
    <w:p w14:paraId="346D9C1E" w14:textId="65A6846A" w:rsidR="00BF4D3F" w:rsidRPr="00611006" w:rsidRDefault="00BF4D3F" w:rsidP="00BF4D3F">
      <w:pPr>
        <w:jc w:val="center"/>
      </w:pPr>
    </w:p>
    <w:sectPr w:rsidR="00BF4D3F" w:rsidRPr="00611006" w:rsidSect="00D571B7">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18" w:right="1418" w:bottom="1418" w:left="1418" w:header="709" w:footer="709"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199D26" w14:textId="77777777" w:rsidR="00352DFE" w:rsidRDefault="00352DFE" w:rsidP="00AF25FC">
      <w:pPr>
        <w:spacing w:after="0"/>
      </w:pPr>
      <w:r>
        <w:separator/>
      </w:r>
    </w:p>
  </w:endnote>
  <w:endnote w:type="continuationSeparator" w:id="0">
    <w:p w14:paraId="47A38578" w14:textId="77777777" w:rsidR="00352DFE" w:rsidRDefault="00352DFE" w:rsidP="00AF25F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8D1D6" w14:textId="77777777" w:rsidR="00A77114" w:rsidRDefault="00A7711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035"/>
      <w:gridCol w:w="3076"/>
      <w:gridCol w:w="2959"/>
    </w:tblGrid>
    <w:tr w:rsidR="000E484C" w:rsidRPr="00D3094C" w14:paraId="54D24992" w14:textId="77777777" w:rsidTr="006F342E">
      <w:tc>
        <w:tcPr>
          <w:tcW w:w="3085" w:type="dxa"/>
          <w:shd w:val="clear" w:color="auto" w:fill="auto"/>
        </w:tcPr>
        <w:p w14:paraId="58F19F95" w14:textId="3AE47E0B" w:rsidR="000E484C" w:rsidRPr="000E19F3" w:rsidRDefault="000E484C" w:rsidP="006F342E">
          <w:pPr>
            <w:pStyle w:val="Zpat"/>
            <w:tabs>
              <w:tab w:val="center" w:pos="1427"/>
            </w:tabs>
            <w:spacing w:before="240" w:after="0"/>
            <w:rPr>
              <w:sz w:val="14"/>
              <w:szCs w:val="14"/>
            </w:rPr>
          </w:pPr>
        </w:p>
      </w:tc>
      <w:tc>
        <w:tcPr>
          <w:tcW w:w="3119" w:type="dxa"/>
          <w:shd w:val="clear" w:color="auto" w:fill="auto"/>
        </w:tcPr>
        <w:p w14:paraId="488402CD" w14:textId="77777777" w:rsidR="000E484C" w:rsidRPr="000E19F3" w:rsidRDefault="000E484C" w:rsidP="00D3094C">
          <w:pPr>
            <w:pStyle w:val="Zpat"/>
            <w:spacing w:before="240" w:after="0"/>
            <w:jc w:val="center"/>
            <w:rPr>
              <w:sz w:val="14"/>
              <w:szCs w:val="14"/>
            </w:rPr>
          </w:pPr>
          <w:r w:rsidRPr="000E19F3">
            <w:rPr>
              <w:sz w:val="14"/>
              <w:szCs w:val="14"/>
            </w:rPr>
            <w:t xml:space="preserve">Stránka </w:t>
          </w:r>
          <w:r w:rsidRPr="000E19F3">
            <w:rPr>
              <w:sz w:val="14"/>
              <w:szCs w:val="14"/>
            </w:rPr>
            <w:fldChar w:fldCharType="begin"/>
          </w:r>
          <w:r w:rsidRPr="000E19F3">
            <w:rPr>
              <w:sz w:val="14"/>
              <w:szCs w:val="14"/>
            </w:rPr>
            <w:instrText>PAGE  \* Arabic  \* MERGEFORMAT</w:instrText>
          </w:r>
          <w:r w:rsidRPr="000E19F3">
            <w:rPr>
              <w:sz w:val="14"/>
              <w:szCs w:val="14"/>
            </w:rPr>
            <w:fldChar w:fldCharType="separate"/>
          </w:r>
          <w:r>
            <w:rPr>
              <w:noProof/>
              <w:sz w:val="14"/>
              <w:szCs w:val="14"/>
            </w:rPr>
            <w:t>1</w:t>
          </w:r>
          <w:r w:rsidRPr="000E19F3">
            <w:rPr>
              <w:sz w:val="14"/>
              <w:szCs w:val="14"/>
            </w:rPr>
            <w:fldChar w:fldCharType="end"/>
          </w:r>
          <w:r w:rsidRPr="000E19F3">
            <w:rPr>
              <w:sz w:val="14"/>
              <w:szCs w:val="14"/>
            </w:rPr>
            <w:t xml:space="preserve"> z </w:t>
          </w:r>
          <w:r w:rsidRPr="000E19F3">
            <w:rPr>
              <w:sz w:val="14"/>
              <w:szCs w:val="14"/>
            </w:rPr>
            <w:fldChar w:fldCharType="begin"/>
          </w:r>
          <w:r w:rsidRPr="000E19F3">
            <w:rPr>
              <w:sz w:val="14"/>
              <w:szCs w:val="14"/>
            </w:rPr>
            <w:instrText>NUMPAGES  \* Arabic  \* MERGEFORMAT</w:instrText>
          </w:r>
          <w:r w:rsidRPr="000E19F3">
            <w:rPr>
              <w:sz w:val="14"/>
              <w:szCs w:val="14"/>
            </w:rPr>
            <w:fldChar w:fldCharType="separate"/>
          </w:r>
          <w:r>
            <w:rPr>
              <w:noProof/>
              <w:sz w:val="14"/>
              <w:szCs w:val="14"/>
            </w:rPr>
            <w:t>1</w:t>
          </w:r>
          <w:r w:rsidRPr="000E19F3">
            <w:rPr>
              <w:sz w:val="14"/>
              <w:szCs w:val="14"/>
            </w:rPr>
            <w:fldChar w:fldCharType="end"/>
          </w:r>
        </w:p>
      </w:tc>
      <w:tc>
        <w:tcPr>
          <w:tcW w:w="3008" w:type="dxa"/>
          <w:shd w:val="clear" w:color="auto" w:fill="auto"/>
        </w:tcPr>
        <w:p w14:paraId="0B6C4CFD" w14:textId="78796F0F" w:rsidR="000E484C" w:rsidRPr="000E19F3" w:rsidRDefault="000E484C" w:rsidP="006F342E">
          <w:pPr>
            <w:pStyle w:val="Zpat"/>
            <w:spacing w:before="240" w:after="0"/>
            <w:jc w:val="center"/>
            <w:rPr>
              <w:sz w:val="14"/>
              <w:szCs w:val="14"/>
            </w:rPr>
          </w:pPr>
        </w:p>
      </w:tc>
    </w:tr>
    <w:tr w:rsidR="000E484C" w:rsidRPr="00D3094C" w14:paraId="32A1B53A" w14:textId="77777777" w:rsidTr="006F342E">
      <w:tc>
        <w:tcPr>
          <w:tcW w:w="3085" w:type="dxa"/>
          <w:shd w:val="clear" w:color="auto" w:fill="auto"/>
        </w:tcPr>
        <w:p w14:paraId="225D40B4" w14:textId="77777777" w:rsidR="000E484C" w:rsidRPr="000E19F3" w:rsidRDefault="000E484C" w:rsidP="00D3094C">
          <w:pPr>
            <w:pStyle w:val="Zpat"/>
            <w:spacing w:after="0"/>
            <w:jc w:val="center"/>
            <w:rPr>
              <w:sz w:val="14"/>
              <w:szCs w:val="14"/>
            </w:rPr>
          </w:pPr>
        </w:p>
      </w:tc>
      <w:tc>
        <w:tcPr>
          <w:tcW w:w="3119" w:type="dxa"/>
          <w:shd w:val="clear" w:color="auto" w:fill="auto"/>
        </w:tcPr>
        <w:p w14:paraId="6E880AFC" w14:textId="77777777" w:rsidR="000E484C" w:rsidRPr="000E19F3" w:rsidRDefault="000E484C" w:rsidP="00D3094C">
          <w:pPr>
            <w:pStyle w:val="Zpat"/>
            <w:spacing w:after="0"/>
            <w:jc w:val="center"/>
            <w:rPr>
              <w:sz w:val="14"/>
              <w:szCs w:val="14"/>
            </w:rPr>
          </w:pPr>
        </w:p>
      </w:tc>
      <w:tc>
        <w:tcPr>
          <w:tcW w:w="3008" w:type="dxa"/>
          <w:shd w:val="clear" w:color="auto" w:fill="auto"/>
        </w:tcPr>
        <w:p w14:paraId="741A5E54" w14:textId="77777777" w:rsidR="000E484C" w:rsidRPr="000E19F3" w:rsidRDefault="000E484C" w:rsidP="00D3094C">
          <w:pPr>
            <w:pStyle w:val="Zpat"/>
            <w:spacing w:after="0"/>
            <w:jc w:val="center"/>
            <w:rPr>
              <w:sz w:val="14"/>
              <w:szCs w:val="14"/>
            </w:rPr>
          </w:pPr>
        </w:p>
      </w:tc>
    </w:tr>
  </w:tbl>
  <w:p w14:paraId="00B23D87" w14:textId="77777777" w:rsidR="000E484C" w:rsidRPr="00AF25FC" w:rsidRDefault="000E484C">
    <w:pPr>
      <w:pStyle w:val="Zpat"/>
    </w:pPr>
    <w:r w:rsidRPr="00AF25FC">
      <w:tab/>
    </w:r>
    <w:r w:rsidRPr="00AF25FC">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F2B47" w14:textId="77777777" w:rsidR="00A77114" w:rsidRDefault="00A7711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F7818D" w14:textId="77777777" w:rsidR="00352DFE" w:rsidRDefault="00352DFE" w:rsidP="00AF25FC">
      <w:pPr>
        <w:spacing w:after="0"/>
      </w:pPr>
      <w:r>
        <w:separator/>
      </w:r>
    </w:p>
  </w:footnote>
  <w:footnote w:type="continuationSeparator" w:id="0">
    <w:p w14:paraId="594F7C9E" w14:textId="77777777" w:rsidR="00352DFE" w:rsidRDefault="00352DFE" w:rsidP="00AF25F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8FCCF" w14:textId="77777777" w:rsidR="00A77114" w:rsidRDefault="00A7711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D124E" w14:textId="77777777" w:rsidR="00A77114" w:rsidRDefault="00A77114">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E07A2" w14:textId="77777777" w:rsidR="00A77114" w:rsidRDefault="00A7711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0000004"/>
    <w:name w:val="WW8Num4"/>
    <w:lvl w:ilvl="0">
      <w:start w:val="1"/>
      <w:numFmt w:val="decimal"/>
      <w:lvlText w:val="%1."/>
      <w:lvlJc w:val="left"/>
      <w:pPr>
        <w:tabs>
          <w:tab w:val="num" w:pos="0"/>
        </w:tabs>
        <w:ind w:left="720" w:hanging="360"/>
      </w:pPr>
    </w:lvl>
    <w:lvl w:ilvl="1">
      <w:start w:val="1"/>
      <w:numFmt w:val="decimal"/>
      <w:lvlText w:val="%1.%2."/>
      <w:lvlJc w:val="left"/>
      <w:pPr>
        <w:tabs>
          <w:tab w:val="num" w:pos="0"/>
        </w:tabs>
        <w:ind w:left="786" w:hanging="360"/>
      </w:pPr>
    </w:lvl>
    <w:lvl w:ilvl="2">
      <w:start w:val="1"/>
      <w:numFmt w:val="decimal"/>
      <w:lvlText w:val="%1.%2.%3."/>
      <w:lvlJc w:val="left"/>
      <w:pPr>
        <w:tabs>
          <w:tab w:val="num" w:pos="0"/>
        </w:tabs>
        <w:ind w:left="1212" w:hanging="720"/>
      </w:pPr>
    </w:lvl>
    <w:lvl w:ilvl="3">
      <w:start w:val="1"/>
      <w:numFmt w:val="decimal"/>
      <w:lvlText w:val="%1.%2.%3.%4."/>
      <w:lvlJc w:val="left"/>
      <w:pPr>
        <w:tabs>
          <w:tab w:val="num" w:pos="0"/>
        </w:tabs>
        <w:ind w:left="1278" w:hanging="720"/>
      </w:pPr>
    </w:lvl>
    <w:lvl w:ilvl="4">
      <w:start w:val="1"/>
      <w:numFmt w:val="decimal"/>
      <w:lvlText w:val="%1.%2.%3.%4.%5."/>
      <w:lvlJc w:val="left"/>
      <w:pPr>
        <w:tabs>
          <w:tab w:val="num" w:pos="0"/>
        </w:tabs>
        <w:ind w:left="1704" w:hanging="1080"/>
      </w:pPr>
    </w:lvl>
    <w:lvl w:ilvl="5">
      <w:start w:val="1"/>
      <w:numFmt w:val="decimal"/>
      <w:lvlText w:val="%1.%2.%3.%4.%5.%6."/>
      <w:lvlJc w:val="left"/>
      <w:pPr>
        <w:tabs>
          <w:tab w:val="num" w:pos="0"/>
        </w:tabs>
        <w:ind w:left="1770" w:hanging="1080"/>
      </w:pPr>
    </w:lvl>
    <w:lvl w:ilvl="6">
      <w:start w:val="1"/>
      <w:numFmt w:val="decimal"/>
      <w:lvlText w:val="%1.%2.%3.%4.%5.%6.%7."/>
      <w:lvlJc w:val="left"/>
      <w:pPr>
        <w:tabs>
          <w:tab w:val="num" w:pos="0"/>
        </w:tabs>
        <w:ind w:left="1836" w:hanging="1080"/>
      </w:pPr>
    </w:lvl>
    <w:lvl w:ilvl="7">
      <w:start w:val="1"/>
      <w:numFmt w:val="decimal"/>
      <w:lvlText w:val="%1.%2.%3.%4.%5.%6.%7.%8."/>
      <w:lvlJc w:val="left"/>
      <w:pPr>
        <w:tabs>
          <w:tab w:val="num" w:pos="0"/>
        </w:tabs>
        <w:ind w:left="2262" w:hanging="1440"/>
      </w:pPr>
    </w:lvl>
    <w:lvl w:ilvl="8">
      <w:start w:val="1"/>
      <w:numFmt w:val="decimal"/>
      <w:lvlText w:val="%1.%2.%3.%4.%5.%6.%7.%8.%9."/>
      <w:lvlJc w:val="left"/>
      <w:pPr>
        <w:tabs>
          <w:tab w:val="num" w:pos="0"/>
        </w:tabs>
        <w:ind w:left="2328" w:hanging="1440"/>
      </w:pPr>
    </w:lvl>
  </w:abstractNum>
  <w:abstractNum w:abstractNumId="1" w15:restartNumberingAfterBreak="0">
    <w:nsid w:val="007711AB"/>
    <w:multiLevelType w:val="hybridMultilevel"/>
    <w:tmpl w:val="FD6A75FA"/>
    <w:lvl w:ilvl="0" w:tplc="0405000F">
      <w:start w:val="1"/>
      <w:numFmt w:val="decimal"/>
      <w:lvlText w:val="%1."/>
      <w:lvlJc w:val="left"/>
      <w:pPr>
        <w:ind w:left="1352" w:hanging="360"/>
      </w:pPr>
    </w:lvl>
    <w:lvl w:ilvl="1" w:tplc="04050019" w:tentative="1">
      <w:start w:val="1"/>
      <w:numFmt w:val="lowerLetter"/>
      <w:lvlText w:val="%2."/>
      <w:lvlJc w:val="left"/>
      <w:pPr>
        <w:ind w:left="2072" w:hanging="360"/>
      </w:pPr>
    </w:lvl>
    <w:lvl w:ilvl="2" w:tplc="0405001B" w:tentative="1">
      <w:start w:val="1"/>
      <w:numFmt w:val="lowerRoman"/>
      <w:lvlText w:val="%3."/>
      <w:lvlJc w:val="right"/>
      <w:pPr>
        <w:ind w:left="2792" w:hanging="180"/>
      </w:pPr>
    </w:lvl>
    <w:lvl w:ilvl="3" w:tplc="0405000F" w:tentative="1">
      <w:start w:val="1"/>
      <w:numFmt w:val="decimal"/>
      <w:lvlText w:val="%4."/>
      <w:lvlJc w:val="left"/>
      <w:pPr>
        <w:ind w:left="3512" w:hanging="360"/>
      </w:pPr>
    </w:lvl>
    <w:lvl w:ilvl="4" w:tplc="04050019" w:tentative="1">
      <w:start w:val="1"/>
      <w:numFmt w:val="lowerLetter"/>
      <w:lvlText w:val="%5."/>
      <w:lvlJc w:val="left"/>
      <w:pPr>
        <w:ind w:left="4232" w:hanging="360"/>
      </w:pPr>
    </w:lvl>
    <w:lvl w:ilvl="5" w:tplc="0405001B" w:tentative="1">
      <w:start w:val="1"/>
      <w:numFmt w:val="lowerRoman"/>
      <w:lvlText w:val="%6."/>
      <w:lvlJc w:val="right"/>
      <w:pPr>
        <w:ind w:left="4952" w:hanging="180"/>
      </w:pPr>
    </w:lvl>
    <w:lvl w:ilvl="6" w:tplc="0405000F" w:tentative="1">
      <w:start w:val="1"/>
      <w:numFmt w:val="decimal"/>
      <w:lvlText w:val="%7."/>
      <w:lvlJc w:val="left"/>
      <w:pPr>
        <w:ind w:left="5672" w:hanging="360"/>
      </w:pPr>
    </w:lvl>
    <w:lvl w:ilvl="7" w:tplc="04050019" w:tentative="1">
      <w:start w:val="1"/>
      <w:numFmt w:val="lowerLetter"/>
      <w:lvlText w:val="%8."/>
      <w:lvlJc w:val="left"/>
      <w:pPr>
        <w:ind w:left="6392" w:hanging="360"/>
      </w:pPr>
    </w:lvl>
    <w:lvl w:ilvl="8" w:tplc="0405001B" w:tentative="1">
      <w:start w:val="1"/>
      <w:numFmt w:val="lowerRoman"/>
      <w:lvlText w:val="%9."/>
      <w:lvlJc w:val="right"/>
      <w:pPr>
        <w:ind w:left="7112" w:hanging="180"/>
      </w:pPr>
    </w:lvl>
  </w:abstractNum>
  <w:abstractNum w:abstractNumId="2" w15:restartNumberingAfterBreak="0">
    <w:nsid w:val="00D049D4"/>
    <w:multiLevelType w:val="hybridMultilevel"/>
    <w:tmpl w:val="A1085E6A"/>
    <w:lvl w:ilvl="0" w:tplc="E7C2844A">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 w15:restartNumberingAfterBreak="0">
    <w:nsid w:val="04D879E2"/>
    <w:multiLevelType w:val="hybridMultilevel"/>
    <w:tmpl w:val="0B1EF776"/>
    <w:lvl w:ilvl="0" w:tplc="8708E2B6">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 w15:restartNumberingAfterBreak="0">
    <w:nsid w:val="0FCA5B14"/>
    <w:multiLevelType w:val="multilevel"/>
    <w:tmpl w:val="2FAA074C"/>
    <w:lvl w:ilvl="0">
      <w:start w:val="2"/>
      <w:numFmt w:val="decimal"/>
      <w:lvlText w:val="%1"/>
      <w:lvlJc w:val="left"/>
      <w:pPr>
        <w:tabs>
          <w:tab w:val="num" w:pos="0"/>
        </w:tabs>
        <w:ind w:left="360" w:hanging="360"/>
      </w:pPr>
      <w:rPr>
        <w:rFonts w:hint="default"/>
      </w:rPr>
    </w:lvl>
    <w:lvl w:ilvl="1">
      <w:start w:val="1"/>
      <w:numFmt w:val="decimal"/>
      <w:lvlText w:val="%2."/>
      <w:lvlJc w:val="left"/>
      <w:pPr>
        <w:tabs>
          <w:tab w:val="num" w:pos="0"/>
        </w:tabs>
        <w:ind w:left="357" w:hanging="357"/>
      </w:pPr>
      <w:rPr>
        <w:rFonts w:ascii="Calibri" w:eastAsia="Calibri" w:hAnsi="Calibri" w:cs="Times New Roman"/>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5" w15:restartNumberingAfterBreak="0">
    <w:nsid w:val="14AE7BBB"/>
    <w:multiLevelType w:val="hybridMultilevel"/>
    <w:tmpl w:val="CDA273A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164912F6"/>
    <w:multiLevelType w:val="hybridMultilevel"/>
    <w:tmpl w:val="21089C3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B1F3A16"/>
    <w:multiLevelType w:val="multilevel"/>
    <w:tmpl w:val="12B4DE30"/>
    <w:lvl w:ilvl="0">
      <w:start w:val="1"/>
      <w:numFmt w:val="decimal"/>
      <w:lvlText w:val="%1."/>
      <w:lvlJc w:val="left"/>
      <w:pPr>
        <w:tabs>
          <w:tab w:val="num" w:pos="0"/>
        </w:tabs>
        <w:ind w:left="360" w:hanging="360"/>
      </w:pPr>
      <w:rPr>
        <w:rFonts w:ascii="Calibri" w:eastAsia="Calibri" w:hAnsi="Calibri" w:cs="Times New Roman"/>
        <w:b/>
        <w:i w:val="0"/>
        <w:sz w:val="20"/>
        <w:szCs w:val="20"/>
      </w:rPr>
    </w:lvl>
    <w:lvl w:ilvl="1">
      <w:start w:val="1"/>
      <w:numFmt w:val="decimal"/>
      <w:lvlText w:val="%1.%2."/>
      <w:lvlJc w:val="left"/>
      <w:pPr>
        <w:tabs>
          <w:tab w:val="num" w:pos="170"/>
        </w:tabs>
        <w:ind w:left="567" w:hanging="567"/>
      </w:pPr>
      <w:rPr>
        <w:rFonts w:ascii="Calibri" w:hAnsi="Calibri" w:cs="Calibri" w:hint="default"/>
        <w:b w:val="0"/>
        <w:i w:val="0"/>
        <w:sz w:val="20"/>
        <w:szCs w:val="20"/>
      </w:rPr>
    </w:lvl>
    <w:lvl w:ilvl="2">
      <w:start w:val="1"/>
      <w:numFmt w:val="lowerLetter"/>
      <w:lvlText w:val="%3."/>
      <w:lvlJc w:val="left"/>
      <w:pPr>
        <w:tabs>
          <w:tab w:val="num" w:pos="1440"/>
        </w:tabs>
        <w:ind w:left="1224" w:hanging="504"/>
      </w:pPr>
      <w:rPr>
        <w:rFonts w:ascii="Calibri" w:hAnsi="Calibri" w:cs="Calibri" w:hint="default"/>
        <w:b w:val="0"/>
        <w:i w:val="0"/>
        <w:sz w:val="20"/>
        <w:szCs w:val="20"/>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21CA7BF8"/>
    <w:multiLevelType w:val="hybridMultilevel"/>
    <w:tmpl w:val="ADD8BC66"/>
    <w:lvl w:ilvl="0" w:tplc="F2BE05E0">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9" w15:restartNumberingAfterBreak="0">
    <w:nsid w:val="2B087E0D"/>
    <w:multiLevelType w:val="hybridMultilevel"/>
    <w:tmpl w:val="3B9E770A"/>
    <w:lvl w:ilvl="0" w:tplc="70A856B2">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0" w15:restartNumberingAfterBreak="0">
    <w:nsid w:val="2E2F0493"/>
    <w:multiLevelType w:val="hybridMultilevel"/>
    <w:tmpl w:val="A6DE0AA4"/>
    <w:lvl w:ilvl="0" w:tplc="A33CD9A2">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31E3207"/>
    <w:multiLevelType w:val="hybridMultilevel"/>
    <w:tmpl w:val="FF46AC0C"/>
    <w:lvl w:ilvl="0" w:tplc="3F02A67E">
      <w:start w:val="1"/>
      <w:numFmt w:val="bullet"/>
      <w:lvlText w:val=""/>
      <w:lvlJc w:val="left"/>
      <w:pPr>
        <w:tabs>
          <w:tab w:val="num" w:pos="1260"/>
        </w:tabs>
        <w:ind w:left="1260" w:hanging="360"/>
      </w:pPr>
      <w:rPr>
        <w:rFonts w:ascii="Symbol" w:hAnsi="Symbol" w:hint="default"/>
      </w:rPr>
    </w:lvl>
    <w:lvl w:ilvl="1" w:tplc="04050003" w:tentative="1">
      <w:start w:val="1"/>
      <w:numFmt w:val="bullet"/>
      <w:lvlText w:val="o"/>
      <w:lvlJc w:val="left"/>
      <w:pPr>
        <w:tabs>
          <w:tab w:val="num" w:pos="1980"/>
        </w:tabs>
        <w:ind w:left="1980" w:hanging="360"/>
      </w:pPr>
      <w:rPr>
        <w:rFonts w:ascii="Courier New" w:hAnsi="Courier New" w:cs="Courier New" w:hint="default"/>
      </w:rPr>
    </w:lvl>
    <w:lvl w:ilvl="2" w:tplc="04050005" w:tentative="1">
      <w:start w:val="1"/>
      <w:numFmt w:val="bullet"/>
      <w:lvlText w:val=""/>
      <w:lvlJc w:val="left"/>
      <w:pPr>
        <w:tabs>
          <w:tab w:val="num" w:pos="2700"/>
        </w:tabs>
        <w:ind w:left="2700" w:hanging="360"/>
      </w:pPr>
      <w:rPr>
        <w:rFonts w:ascii="Wingdings" w:hAnsi="Wingdings" w:hint="default"/>
      </w:rPr>
    </w:lvl>
    <w:lvl w:ilvl="3" w:tplc="04050001" w:tentative="1">
      <w:start w:val="1"/>
      <w:numFmt w:val="bullet"/>
      <w:lvlText w:val=""/>
      <w:lvlJc w:val="left"/>
      <w:pPr>
        <w:tabs>
          <w:tab w:val="num" w:pos="3420"/>
        </w:tabs>
        <w:ind w:left="3420" w:hanging="360"/>
      </w:pPr>
      <w:rPr>
        <w:rFonts w:ascii="Symbol" w:hAnsi="Symbol" w:hint="default"/>
      </w:rPr>
    </w:lvl>
    <w:lvl w:ilvl="4" w:tplc="04050003" w:tentative="1">
      <w:start w:val="1"/>
      <w:numFmt w:val="bullet"/>
      <w:lvlText w:val="o"/>
      <w:lvlJc w:val="left"/>
      <w:pPr>
        <w:tabs>
          <w:tab w:val="num" w:pos="4140"/>
        </w:tabs>
        <w:ind w:left="4140" w:hanging="360"/>
      </w:pPr>
      <w:rPr>
        <w:rFonts w:ascii="Courier New" w:hAnsi="Courier New" w:cs="Courier New" w:hint="default"/>
      </w:rPr>
    </w:lvl>
    <w:lvl w:ilvl="5" w:tplc="04050005" w:tentative="1">
      <w:start w:val="1"/>
      <w:numFmt w:val="bullet"/>
      <w:lvlText w:val=""/>
      <w:lvlJc w:val="left"/>
      <w:pPr>
        <w:tabs>
          <w:tab w:val="num" w:pos="4860"/>
        </w:tabs>
        <w:ind w:left="4860" w:hanging="360"/>
      </w:pPr>
      <w:rPr>
        <w:rFonts w:ascii="Wingdings" w:hAnsi="Wingdings" w:hint="default"/>
      </w:rPr>
    </w:lvl>
    <w:lvl w:ilvl="6" w:tplc="04050001" w:tentative="1">
      <w:start w:val="1"/>
      <w:numFmt w:val="bullet"/>
      <w:lvlText w:val=""/>
      <w:lvlJc w:val="left"/>
      <w:pPr>
        <w:tabs>
          <w:tab w:val="num" w:pos="5580"/>
        </w:tabs>
        <w:ind w:left="5580" w:hanging="360"/>
      </w:pPr>
      <w:rPr>
        <w:rFonts w:ascii="Symbol" w:hAnsi="Symbol" w:hint="default"/>
      </w:rPr>
    </w:lvl>
    <w:lvl w:ilvl="7" w:tplc="04050003" w:tentative="1">
      <w:start w:val="1"/>
      <w:numFmt w:val="bullet"/>
      <w:lvlText w:val="o"/>
      <w:lvlJc w:val="left"/>
      <w:pPr>
        <w:tabs>
          <w:tab w:val="num" w:pos="6300"/>
        </w:tabs>
        <w:ind w:left="6300" w:hanging="360"/>
      </w:pPr>
      <w:rPr>
        <w:rFonts w:ascii="Courier New" w:hAnsi="Courier New" w:cs="Courier New" w:hint="default"/>
      </w:rPr>
    </w:lvl>
    <w:lvl w:ilvl="8" w:tplc="04050005"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34444342"/>
    <w:multiLevelType w:val="hybridMultilevel"/>
    <w:tmpl w:val="18E2D754"/>
    <w:lvl w:ilvl="0" w:tplc="B630C8C4">
      <w:start w:val="1"/>
      <w:numFmt w:val="decimal"/>
      <w:lvlText w:val="%1."/>
      <w:lvlJc w:val="left"/>
      <w:pPr>
        <w:tabs>
          <w:tab w:val="num" w:pos="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4596D33"/>
    <w:multiLevelType w:val="multilevel"/>
    <w:tmpl w:val="13248ED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0"/>
        </w:tabs>
        <w:ind w:left="0" w:firstLine="284"/>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3D1A54AA"/>
    <w:multiLevelType w:val="hybridMultilevel"/>
    <w:tmpl w:val="6B225AAE"/>
    <w:lvl w:ilvl="0" w:tplc="DB9C81A8">
      <w:start w:val="2"/>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3D86C17"/>
    <w:multiLevelType w:val="hybridMultilevel"/>
    <w:tmpl w:val="27FEA144"/>
    <w:lvl w:ilvl="0" w:tplc="F65606DA">
      <w:numFmt w:val="bullet"/>
      <w:lvlText w:val="-"/>
      <w:lvlJc w:val="left"/>
      <w:pPr>
        <w:ind w:left="786" w:hanging="360"/>
      </w:pPr>
      <w:rPr>
        <w:rFonts w:ascii="Calibri" w:eastAsia="Calibri" w:hAnsi="Calibri" w:cs="Calibri" w:hint="default"/>
      </w:rPr>
    </w:lvl>
    <w:lvl w:ilvl="1" w:tplc="04050003">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6" w15:restartNumberingAfterBreak="0">
    <w:nsid w:val="4BC80502"/>
    <w:multiLevelType w:val="hybridMultilevel"/>
    <w:tmpl w:val="5622EEFA"/>
    <w:lvl w:ilvl="0" w:tplc="E2B6E802">
      <w:start w:val="1"/>
      <w:numFmt w:val="bullet"/>
      <w:lvlText w:val="-"/>
      <w:lvlJc w:val="left"/>
      <w:pPr>
        <w:ind w:left="786" w:hanging="360"/>
      </w:pPr>
      <w:rPr>
        <w:rFonts w:ascii="Calibri" w:eastAsia="Calibri" w:hAnsi="Calibri" w:cs="Calibri"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7" w15:restartNumberingAfterBreak="0">
    <w:nsid w:val="4D7131B2"/>
    <w:multiLevelType w:val="multilevel"/>
    <w:tmpl w:val="5C045C5E"/>
    <w:lvl w:ilvl="0">
      <w:start w:val="2"/>
      <w:numFmt w:val="decimal"/>
      <w:lvlText w:val="%1"/>
      <w:lvlJc w:val="left"/>
      <w:pPr>
        <w:ind w:left="360" w:hanging="360"/>
      </w:pPr>
      <w:rPr>
        <w:rFonts w:hint="default"/>
        <w:u w:val="none"/>
      </w:rPr>
    </w:lvl>
    <w:lvl w:ilvl="1">
      <w:start w:val="1"/>
      <w:numFmt w:val="decimal"/>
      <w:lvlText w:val="%1.%2"/>
      <w:lvlJc w:val="left"/>
      <w:pPr>
        <w:ind w:left="786" w:hanging="360"/>
      </w:pPr>
      <w:rPr>
        <w:rFonts w:hint="default"/>
        <w:u w:val="none"/>
      </w:rPr>
    </w:lvl>
    <w:lvl w:ilvl="2">
      <w:start w:val="1"/>
      <w:numFmt w:val="decimal"/>
      <w:lvlText w:val="%1.%2.%3"/>
      <w:lvlJc w:val="left"/>
      <w:pPr>
        <w:ind w:left="1572" w:hanging="720"/>
      </w:pPr>
      <w:rPr>
        <w:rFonts w:hint="default"/>
        <w:u w:val="none"/>
      </w:rPr>
    </w:lvl>
    <w:lvl w:ilvl="3">
      <w:start w:val="1"/>
      <w:numFmt w:val="decimal"/>
      <w:lvlText w:val="%1.%2.%3.%4"/>
      <w:lvlJc w:val="left"/>
      <w:pPr>
        <w:ind w:left="1998" w:hanging="720"/>
      </w:pPr>
      <w:rPr>
        <w:rFonts w:hint="default"/>
        <w:u w:val="none"/>
      </w:rPr>
    </w:lvl>
    <w:lvl w:ilvl="4">
      <w:start w:val="1"/>
      <w:numFmt w:val="decimal"/>
      <w:lvlText w:val="%1.%2.%3.%4.%5"/>
      <w:lvlJc w:val="left"/>
      <w:pPr>
        <w:ind w:left="2424" w:hanging="720"/>
      </w:pPr>
      <w:rPr>
        <w:rFonts w:hint="default"/>
        <w:u w:val="none"/>
      </w:rPr>
    </w:lvl>
    <w:lvl w:ilvl="5">
      <w:start w:val="1"/>
      <w:numFmt w:val="decimal"/>
      <w:lvlText w:val="%1.%2.%3.%4.%5.%6"/>
      <w:lvlJc w:val="left"/>
      <w:pPr>
        <w:ind w:left="3210" w:hanging="1080"/>
      </w:pPr>
      <w:rPr>
        <w:rFonts w:hint="default"/>
        <w:u w:val="none"/>
      </w:rPr>
    </w:lvl>
    <w:lvl w:ilvl="6">
      <w:start w:val="1"/>
      <w:numFmt w:val="decimal"/>
      <w:lvlText w:val="%1.%2.%3.%4.%5.%6.%7"/>
      <w:lvlJc w:val="left"/>
      <w:pPr>
        <w:ind w:left="3636" w:hanging="1080"/>
      </w:pPr>
      <w:rPr>
        <w:rFonts w:hint="default"/>
        <w:u w:val="none"/>
      </w:rPr>
    </w:lvl>
    <w:lvl w:ilvl="7">
      <w:start w:val="1"/>
      <w:numFmt w:val="decimal"/>
      <w:lvlText w:val="%1.%2.%3.%4.%5.%6.%7.%8"/>
      <w:lvlJc w:val="left"/>
      <w:pPr>
        <w:ind w:left="4422" w:hanging="1440"/>
      </w:pPr>
      <w:rPr>
        <w:rFonts w:hint="default"/>
        <w:u w:val="none"/>
      </w:rPr>
    </w:lvl>
    <w:lvl w:ilvl="8">
      <w:start w:val="1"/>
      <w:numFmt w:val="decimal"/>
      <w:lvlText w:val="%1.%2.%3.%4.%5.%6.%7.%8.%9"/>
      <w:lvlJc w:val="left"/>
      <w:pPr>
        <w:ind w:left="4848" w:hanging="1440"/>
      </w:pPr>
      <w:rPr>
        <w:rFonts w:hint="default"/>
        <w:u w:val="none"/>
      </w:rPr>
    </w:lvl>
  </w:abstractNum>
  <w:abstractNum w:abstractNumId="18" w15:restartNumberingAfterBreak="0">
    <w:nsid w:val="4DE47793"/>
    <w:multiLevelType w:val="hybridMultilevel"/>
    <w:tmpl w:val="04A8DDE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A3912FD"/>
    <w:multiLevelType w:val="hybridMultilevel"/>
    <w:tmpl w:val="60562784"/>
    <w:lvl w:ilvl="0" w:tplc="0405000F">
      <w:start w:val="1"/>
      <w:numFmt w:val="decimal"/>
      <w:lvlText w:val="%1."/>
      <w:lvlJc w:val="left"/>
      <w:pPr>
        <w:ind w:left="1287" w:hanging="360"/>
      </w:p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0" w15:restartNumberingAfterBreak="0">
    <w:nsid w:val="5E261754"/>
    <w:multiLevelType w:val="hybridMultilevel"/>
    <w:tmpl w:val="345C05A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659F6120"/>
    <w:multiLevelType w:val="hybridMultilevel"/>
    <w:tmpl w:val="AFAC09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72C571A"/>
    <w:multiLevelType w:val="multilevel"/>
    <w:tmpl w:val="388CA34E"/>
    <w:lvl w:ilvl="0">
      <w:start w:val="1"/>
      <w:numFmt w:val="upperRoman"/>
      <w:lvlText w:val="%1."/>
      <w:lvlJc w:val="righ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74CB50EC"/>
    <w:multiLevelType w:val="multilevel"/>
    <w:tmpl w:val="537888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0"/>
        </w:tabs>
        <w:ind w:left="0" w:firstLine="28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76D462E0"/>
    <w:multiLevelType w:val="hybridMultilevel"/>
    <w:tmpl w:val="0CAA2D28"/>
    <w:lvl w:ilvl="0" w:tplc="0405001B">
      <w:start w:val="1"/>
      <w:numFmt w:val="lowerRoman"/>
      <w:lvlText w:val="%1."/>
      <w:lvlJc w:val="righ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5" w15:restartNumberingAfterBreak="0">
    <w:nsid w:val="788A17F2"/>
    <w:multiLevelType w:val="multilevel"/>
    <w:tmpl w:val="C534D96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7E776A7E"/>
    <w:multiLevelType w:val="hybridMultilevel"/>
    <w:tmpl w:val="4AD66AF2"/>
    <w:lvl w:ilvl="0" w:tplc="68B41C22">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0"/>
  </w:num>
  <w:num w:numId="2">
    <w:abstractNumId w:val="12"/>
  </w:num>
  <w:num w:numId="3">
    <w:abstractNumId w:val="14"/>
  </w:num>
  <w:num w:numId="4">
    <w:abstractNumId w:val="22"/>
  </w:num>
  <w:num w:numId="5">
    <w:abstractNumId w:val="10"/>
  </w:num>
  <w:num w:numId="6">
    <w:abstractNumId w:val="9"/>
  </w:num>
  <w:num w:numId="7">
    <w:abstractNumId w:val="21"/>
  </w:num>
  <w:num w:numId="8">
    <w:abstractNumId w:val="16"/>
  </w:num>
  <w:num w:numId="9">
    <w:abstractNumId w:val="4"/>
  </w:num>
  <w:num w:numId="10">
    <w:abstractNumId w:val="6"/>
  </w:num>
  <w:num w:numId="11">
    <w:abstractNumId w:val="8"/>
  </w:num>
  <w:num w:numId="12">
    <w:abstractNumId w:val="13"/>
  </w:num>
  <w:num w:numId="13">
    <w:abstractNumId w:val="17"/>
  </w:num>
  <w:num w:numId="14">
    <w:abstractNumId w:val="7"/>
  </w:num>
  <w:num w:numId="15">
    <w:abstractNumId w:val="11"/>
  </w:num>
  <w:num w:numId="16">
    <w:abstractNumId w:val="19"/>
  </w:num>
  <w:num w:numId="17">
    <w:abstractNumId w:val="24"/>
  </w:num>
  <w:num w:numId="18">
    <w:abstractNumId w:val="23"/>
  </w:num>
  <w:num w:numId="19">
    <w:abstractNumId w:val="5"/>
  </w:num>
  <w:num w:numId="20">
    <w:abstractNumId w:val="26"/>
  </w:num>
  <w:num w:numId="21">
    <w:abstractNumId w:val="0"/>
  </w:num>
  <w:num w:numId="22">
    <w:abstractNumId w:val="2"/>
  </w:num>
  <w:num w:numId="23">
    <w:abstractNumId w:val="15"/>
  </w:num>
  <w:num w:numId="24">
    <w:abstractNumId w:val="3"/>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A57"/>
    <w:rsid w:val="0000494B"/>
    <w:rsid w:val="00011E11"/>
    <w:rsid w:val="000139F0"/>
    <w:rsid w:val="000211FD"/>
    <w:rsid w:val="00021F3A"/>
    <w:rsid w:val="00025B00"/>
    <w:rsid w:val="00031D0E"/>
    <w:rsid w:val="00033925"/>
    <w:rsid w:val="00045786"/>
    <w:rsid w:val="000662B0"/>
    <w:rsid w:val="0006731F"/>
    <w:rsid w:val="00070D46"/>
    <w:rsid w:val="0007105F"/>
    <w:rsid w:val="0007466E"/>
    <w:rsid w:val="000918C1"/>
    <w:rsid w:val="000923D5"/>
    <w:rsid w:val="0009535F"/>
    <w:rsid w:val="000A06CC"/>
    <w:rsid w:val="000D5542"/>
    <w:rsid w:val="000D61D6"/>
    <w:rsid w:val="000E051D"/>
    <w:rsid w:val="000E128C"/>
    <w:rsid w:val="000E19F3"/>
    <w:rsid w:val="000E484C"/>
    <w:rsid w:val="000E744F"/>
    <w:rsid w:val="000F513C"/>
    <w:rsid w:val="000F7A02"/>
    <w:rsid w:val="0010299B"/>
    <w:rsid w:val="00112711"/>
    <w:rsid w:val="001146C1"/>
    <w:rsid w:val="001170DE"/>
    <w:rsid w:val="0012771D"/>
    <w:rsid w:val="00140AA9"/>
    <w:rsid w:val="001436E5"/>
    <w:rsid w:val="00145B05"/>
    <w:rsid w:val="00153D38"/>
    <w:rsid w:val="00153F5E"/>
    <w:rsid w:val="0015634C"/>
    <w:rsid w:val="00163573"/>
    <w:rsid w:val="001673E1"/>
    <w:rsid w:val="00171E80"/>
    <w:rsid w:val="001A0066"/>
    <w:rsid w:val="001A3A64"/>
    <w:rsid w:val="001A43F7"/>
    <w:rsid w:val="001A6B7A"/>
    <w:rsid w:val="001B185D"/>
    <w:rsid w:val="001B2CA0"/>
    <w:rsid w:val="001B536E"/>
    <w:rsid w:val="001B55BE"/>
    <w:rsid w:val="001C1172"/>
    <w:rsid w:val="001C284D"/>
    <w:rsid w:val="001C29A5"/>
    <w:rsid w:val="001D0AD6"/>
    <w:rsid w:val="001D484F"/>
    <w:rsid w:val="001D596E"/>
    <w:rsid w:val="001D6843"/>
    <w:rsid w:val="001E5DA2"/>
    <w:rsid w:val="001E626A"/>
    <w:rsid w:val="001F1BDA"/>
    <w:rsid w:val="001F44C1"/>
    <w:rsid w:val="00215068"/>
    <w:rsid w:val="00215593"/>
    <w:rsid w:val="00225835"/>
    <w:rsid w:val="002273E5"/>
    <w:rsid w:val="0024493E"/>
    <w:rsid w:val="00244ED3"/>
    <w:rsid w:val="00252A66"/>
    <w:rsid w:val="00252E56"/>
    <w:rsid w:val="002531EE"/>
    <w:rsid w:val="00256C73"/>
    <w:rsid w:val="0025766F"/>
    <w:rsid w:val="00264C06"/>
    <w:rsid w:val="00266700"/>
    <w:rsid w:val="0027037D"/>
    <w:rsid w:val="00274181"/>
    <w:rsid w:val="0027512B"/>
    <w:rsid w:val="00284838"/>
    <w:rsid w:val="002860B3"/>
    <w:rsid w:val="002928B6"/>
    <w:rsid w:val="002A1AE2"/>
    <w:rsid w:val="002A1D26"/>
    <w:rsid w:val="002B1DBA"/>
    <w:rsid w:val="002B29B4"/>
    <w:rsid w:val="002B2A79"/>
    <w:rsid w:val="002B68EB"/>
    <w:rsid w:val="002C0B52"/>
    <w:rsid w:val="002E46F3"/>
    <w:rsid w:val="002E5F07"/>
    <w:rsid w:val="002F57F9"/>
    <w:rsid w:val="003033A0"/>
    <w:rsid w:val="00306FEE"/>
    <w:rsid w:val="00313196"/>
    <w:rsid w:val="003144D0"/>
    <w:rsid w:val="00320D6C"/>
    <w:rsid w:val="00324867"/>
    <w:rsid w:val="0033723D"/>
    <w:rsid w:val="00345F41"/>
    <w:rsid w:val="00345FDA"/>
    <w:rsid w:val="00350261"/>
    <w:rsid w:val="00352DCF"/>
    <w:rsid w:val="00352DFE"/>
    <w:rsid w:val="003709F8"/>
    <w:rsid w:val="00372867"/>
    <w:rsid w:val="00375121"/>
    <w:rsid w:val="00381097"/>
    <w:rsid w:val="00382EBA"/>
    <w:rsid w:val="00393820"/>
    <w:rsid w:val="00394315"/>
    <w:rsid w:val="00394CA1"/>
    <w:rsid w:val="003A353E"/>
    <w:rsid w:val="003B1343"/>
    <w:rsid w:val="003B215A"/>
    <w:rsid w:val="003B30EF"/>
    <w:rsid w:val="003C70D4"/>
    <w:rsid w:val="003D1E3E"/>
    <w:rsid w:val="003D21E4"/>
    <w:rsid w:val="003D5E90"/>
    <w:rsid w:val="003E631D"/>
    <w:rsid w:val="003F28D1"/>
    <w:rsid w:val="00400CC6"/>
    <w:rsid w:val="00410A0F"/>
    <w:rsid w:val="00413DE2"/>
    <w:rsid w:val="00417E43"/>
    <w:rsid w:val="004279E8"/>
    <w:rsid w:val="00440F35"/>
    <w:rsid w:val="00441A7C"/>
    <w:rsid w:val="00460B2C"/>
    <w:rsid w:val="0046442E"/>
    <w:rsid w:val="004647EC"/>
    <w:rsid w:val="004752AC"/>
    <w:rsid w:val="00484C40"/>
    <w:rsid w:val="0048574C"/>
    <w:rsid w:val="00490C13"/>
    <w:rsid w:val="00497B04"/>
    <w:rsid w:val="004A1A05"/>
    <w:rsid w:val="004A1A80"/>
    <w:rsid w:val="004A3279"/>
    <w:rsid w:val="004B20C3"/>
    <w:rsid w:val="004B49B3"/>
    <w:rsid w:val="004B5DBD"/>
    <w:rsid w:val="004B70E8"/>
    <w:rsid w:val="004C19CB"/>
    <w:rsid w:val="004D5DDC"/>
    <w:rsid w:val="004D715E"/>
    <w:rsid w:val="004E7538"/>
    <w:rsid w:val="004F20E2"/>
    <w:rsid w:val="004F217E"/>
    <w:rsid w:val="004F5468"/>
    <w:rsid w:val="004F72CC"/>
    <w:rsid w:val="00510B0B"/>
    <w:rsid w:val="005175F0"/>
    <w:rsid w:val="00520F1E"/>
    <w:rsid w:val="00521F5C"/>
    <w:rsid w:val="005225AD"/>
    <w:rsid w:val="00526B9C"/>
    <w:rsid w:val="00541222"/>
    <w:rsid w:val="00552A19"/>
    <w:rsid w:val="00561B40"/>
    <w:rsid w:val="005700E6"/>
    <w:rsid w:val="00573DF7"/>
    <w:rsid w:val="00574A99"/>
    <w:rsid w:val="005823DF"/>
    <w:rsid w:val="0059094C"/>
    <w:rsid w:val="005952A4"/>
    <w:rsid w:val="00595686"/>
    <w:rsid w:val="0059581C"/>
    <w:rsid w:val="00595DD7"/>
    <w:rsid w:val="005A09F2"/>
    <w:rsid w:val="005A4B1F"/>
    <w:rsid w:val="005A5345"/>
    <w:rsid w:val="005A59BF"/>
    <w:rsid w:val="005A5F6C"/>
    <w:rsid w:val="005B0221"/>
    <w:rsid w:val="005D4896"/>
    <w:rsid w:val="005F207F"/>
    <w:rsid w:val="005F66BD"/>
    <w:rsid w:val="00603A53"/>
    <w:rsid w:val="00606FCA"/>
    <w:rsid w:val="00611006"/>
    <w:rsid w:val="0061329D"/>
    <w:rsid w:val="00615427"/>
    <w:rsid w:val="00617F81"/>
    <w:rsid w:val="00620BD1"/>
    <w:rsid w:val="006213C4"/>
    <w:rsid w:val="00627CC8"/>
    <w:rsid w:val="0063101C"/>
    <w:rsid w:val="00631335"/>
    <w:rsid w:val="00632D51"/>
    <w:rsid w:val="00634D42"/>
    <w:rsid w:val="00645C30"/>
    <w:rsid w:val="006500C2"/>
    <w:rsid w:val="0065127F"/>
    <w:rsid w:val="00657335"/>
    <w:rsid w:val="00657806"/>
    <w:rsid w:val="00666A20"/>
    <w:rsid w:val="006732FA"/>
    <w:rsid w:val="006810D2"/>
    <w:rsid w:val="006836D7"/>
    <w:rsid w:val="00690E3E"/>
    <w:rsid w:val="00691908"/>
    <w:rsid w:val="00692CF8"/>
    <w:rsid w:val="006A53E9"/>
    <w:rsid w:val="006B05FE"/>
    <w:rsid w:val="006B20D6"/>
    <w:rsid w:val="006B2E39"/>
    <w:rsid w:val="006B6717"/>
    <w:rsid w:val="006D7D99"/>
    <w:rsid w:val="006E0A6E"/>
    <w:rsid w:val="006E2ABE"/>
    <w:rsid w:val="006E2CF5"/>
    <w:rsid w:val="006F188D"/>
    <w:rsid w:val="006F1E29"/>
    <w:rsid w:val="006F2071"/>
    <w:rsid w:val="006F342E"/>
    <w:rsid w:val="00700867"/>
    <w:rsid w:val="00712507"/>
    <w:rsid w:val="00721A4E"/>
    <w:rsid w:val="0072604F"/>
    <w:rsid w:val="00730373"/>
    <w:rsid w:val="0074099D"/>
    <w:rsid w:val="00742D22"/>
    <w:rsid w:val="00747C32"/>
    <w:rsid w:val="00763AE2"/>
    <w:rsid w:val="00767825"/>
    <w:rsid w:val="00767B08"/>
    <w:rsid w:val="00770D0B"/>
    <w:rsid w:val="00771E24"/>
    <w:rsid w:val="007723AA"/>
    <w:rsid w:val="0077371B"/>
    <w:rsid w:val="0077574C"/>
    <w:rsid w:val="0078172D"/>
    <w:rsid w:val="00787448"/>
    <w:rsid w:val="007926DC"/>
    <w:rsid w:val="00793916"/>
    <w:rsid w:val="007957AE"/>
    <w:rsid w:val="007A0315"/>
    <w:rsid w:val="007A6BC4"/>
    <w:rsid w:val="007B0C04"/>
    <w:rsid w:val="007B1F01"/>
    <w:rsid w:val="007B747D"/>
    <w:rsid w:val="007D399A"/>
    <w:rsid w:val="007E4820"/>
    <w:rsid w:val="007E59C9"/>
    <w:rsid w:val="007E6158"/>
    <w:rsid w:val="007F2873"/>
    <w:rsid w:val="007F40B1"/>
    <w:rsid w:val="007F7C26"/>
    <w:rsid w:val="00804789"/>
    <w:rsid w:val="00807C3E"/>
    <w:rsid w:val="0081347F"/>
    <w:rsid w:val="008144E9"/>
    <w:rsid w:val="00817FD7"/>
    <w:rsid w:val="008310F4"/>
    <w:rsid w:val="008341AE"/>
    <w:rsid w:val="00837401"/>
    <w:rsid w:val="00840002"/>
    <w:rsid w:val="00840287"/>
    <w:rsid w:val="008422A3"/>
    <w:rsid w:val="00844106"/>
    <w:rsid w:val="00856586"/>
    <w:rsid w:val="008651EE"/>
    <w:rsid w:val="00865275"/>
    <w:rsid w:val="00874CB5"/>
    <w:rsid w:val="008752B4"/>
    <w:rsid w:val="00882C04"/>
    <w:rsid w:val="0089021E"/>
    <w:rsid w:val="00890AB8"/>
    <w:rsid w:val="00892126"/>
    <w:rsid w:val="00892EE8"/>
    <w:rsid w:val="00897D84"/>
    <w:rsid w:val="008C1E77"/>
    <w:rsid w:val="008C27A3"/>
    <w:rsid w:val="008C31EB"/>
    <w:rsid w:val="008C5916"/>
    <w:rsid w:val="008E4FB4"/>
    <w:rsid w:val="008E5481"/>
    <w:rsid w:val="008F29D8"/>
    <w:rsid w:val="008F349B"/>
    <w:rsid w:val="008F61BE"/>
    <w:rsid w:val="009079F7"/>
    <w:rsid w:val="00907DE8"/>
    <w:rsid w:val="0091061C"/>
    <w:rsid w:val="00916D5E"/>
    <w:rsid w:val="00924F1A"/>
    <w:rsid w:val="00925223"/>
    <w:rsid w:val="00925CD6"/>
    <w:rsid w:val="00931E2B"/>
    <w:rsid w:val="00936069"/>
    <w:rsid w:val="0094015E"/>
    <w:rsid w:val="009413C4"/>
    <w:rsid w:val="009421AF"/>
    <w:rsid w:val="009425F4"/>
    <w:rsid w:val="009519CF"/>
    <w:rsid w:val="00953CDD"/>
    <w:rsid w:val="00955457"/>
    <w:rsid w:val="00955BF3"/>
    <w:rsid w:val="00956A90"/>
    <w:rsid w:val="00982D52"/>
    <w:rsid w:val="00986E7D"/>
    <w:rsid w:val="009876AB"/>
    <w:rsid w:val="009933F8"/>
    <w:rsid w:val="00995F0D"/>
    <w:rsid w:val="009A34D5"/>
    <w:rsid w:val="009A3B17"/>
    <w:rsid w:val="009A5776"/>
    <w:rsid w:val="009A6CCE"/>
    <w:rsid w:val="009A7233"/>
    <w:rsid w:val="009B5216"/>
    <w:rsid w:val="009B64F0"/>
    <w:rsid w:val="009C3474"/>
    <w:rsid w:val="009C368D"/>
    <w:rsid w:val="009D5592"/>
    <w:rsid w:val="009D630C"/>
    <w:rsid w:val="009E5D1D"/>
    <w:rsid w:val="00A01871"/>
    <w:rsid w:val="00A020A4"/>
    <w:rsid w:val="00A03A63"/>
    <w:rsid w:val="00A03AD9"/>
    <w:rsid w:val="00A053ED"/>
    <w:rsid w:val="00A05E5C"/>
    <w:rsid w:val="00A10F3E"/>
    <w:rsid w:val="00A14A03"/>
    <w:rsid w:val="00A156B4"/>
    <w:rsid w:val="00A25141"/>
    <w:rsid w:val="00A257C0"/>
    <w:rsid w:val="00A25D14"/>
    <w:rsid w:val="00A25E6E"/>
    <w:rsid w:val="00A30203"/>
    <w:rsid w:val="00A3569C"/>
    <w:rsid w:val="00A51080"/>
    <w:rsid w:val="00A53E45"/>
    <w:rsid w:val="00A61D6F"/>
    <w:rsid w:val="00A64F6A"/>
    <w:rsid w:val="00A65054"/>
    <w:rsid w:val="00A651D1"/>
    <w:rsid w:val="00A72325"/>
    <w:rsid w:val="00A77114"/>
    <w:rsid w:val="00A80195"/>
    <w:rsid w:val="00A85937"/>
    <w:rsid w:val="00A8762B"/>
    <w:rsid w:val="00AA10C1"/>
    <w:rsid w:val="00AB30B2"/>
    <w:rsid w:val="00AC3DA9"/>
    <w:rsid w:val="00AC6096"/>
    <w:rsid w:val="00AC6BD8"/>
    <w:rsid w:val="00AC6E1C"/>
    <w:rsid w:val="00AE208D"/>
    <w:rsid w:val="00AE30FA"/>
    <w:rsid w:val="00AF25FC"/>
    <w:rsid w:val="00B0351E"/>
    <w:rsid w:val="00B23E17"/>
    <w:rsid w:val="00B35BD2"/>
    <w:rsid w:val="00B419A7"/>
    <w:rsid w:val="00B44520"/>
    <w:rsid w:val="00B47C96"/>
    <w:rsid w:val="00B532EB"/>
    <w:rsid w:val="00B61939"/>
    <w:rsid w:val="00B61CDF"/>
    <w:rsid w:val="00B61FDD"/>
    <w:rsid w:val="00B63133"/>
    <w:rsid w:val="00B73C09"/>
    <w:rsid w:val="00B77301"/>
    <w:rsid w:val="00B83E03"/>
    <w:rsid w:val="00B92464"/>
    <w:rsid w:val="00B93A4C"/>
    <w:rsid w:val="00B93F0D"/>
    <w:rsid w:val="00B94E4E"/>
    <w:rsid w:val="00BA411E"/>
    <w:rsid w:val="00BA4F98"/>
    <w:rsid w:val="00BA5F05"/>
    <w:rsid w:val="00BB24C2"/>
    <w:rsid w:val="00BB2CBE"/>
    <w:rsid w:val="00BB6546"/>
    <w:rsid w:val="00BC02F9"/>
    <w:rsid w:val="00BD163D"/>
    <w:rsid w:val="00BD2380"/>
    <w:rsid w:val="00BD3864"/>
    <w:rsid w:val="00BE229B"/>
    <w:rsid w:val="00BE682B"/>
    <w:rsid w:val="00BF44AD"/>
    <w:rsid w:val="00BF4D3F"/>
    <w:rsid w:val="00C1128A"/>
    <w:rsid w:val="00C11D81"/>
    <w:rsid w:val="00C13157"/>
    <w:rsid w:val="00C145F7"/>
    <w:rsid w:val="00C14C93"/>
    <w:rsid w:val="00C155B0"/>
    <w:rsid w:val="00C20E6C"/>
    <w:rsid w:val="00C3570E"/>
    <w:rsid w:val="00C40B53"/>
    <w:rsid w:val="00C41044"/>
    <w:rsid w:val="00C41CC1"/>
    <w:rsid w:val="00C45B0B"/>
    <w:rsid w:val="00C6157E"/>
    <w:rsid w:val="00C65770"/>
    <w:rsid w:val="00C77F91"/>
    <w:rsid w:val="00C84DC6"/>
    <w:rsid w:val="00C85C36"/>
    <w:rsid w:val="00C95381"/>
    <w:rsid w:val="00CB09CC"/>
    <w:rsid w:val="00CB50E3"/>
    <w:rsid w:val="00CC7AF2"/>
    <w:rsid w:val="00CD7F04"/>
    <w:rsid w:val="00CE0EBB"/>
    <w:rsid w:val="00CE17AD"/>
    <w:rsid w:val="00CF36EE"/>
    <w:rsid w:val="00D01D60"/>
    <w:rsid w:val="00D02B08"/>
    <w:rsid w:val="00D03AAC"/>
    <w:rsid w:val="00D07FAD"/>
    <w:rsid w:val="00D11678"/>
    <w:rsid w:val="00D14F73"/>
    <w:rsid w:val="00D17357"/>
    <w:rsid w:val="00D21808"/>
    <w:rsid w:val="00D22137"/>
    <w:rsid w:val="00D2337D"/>
    <w:rsid w:val="00D3094C"/>
    <w:rsid w:val="00D3154C"/>
    <w:rsid w:val="00D40030"/>
    <w:rsid w:val="00D44DC1"/>
    <w:rsid w:val="00D56230"/>
    <w:rsid w:val="00D571B7"/>
    <w:rsid w:val="00D62E40"/>
    <w:rsid w:val="00D67E23"/>
    <w:rsid w:val="00D7616D"/>
    <w:rsid w:val="00D76A7E"/>
    <w:rsid w:val="00D8650F"/>
    <w:rsid w:val="00DA14D7"/>
    <w:rsid w:val="00DA1E20"/>
    <w:rsid w:val="00DA2129"/>
    <w:rsid w:val="00DA3DEB"/>
    <w:rsid w:val="00DA43FF"/>
    <w:rsid w:val="00DB2DD3"/>
    <w:rsid w:val="00DB31EC"/>
    <w:rsid w:val="00DB6388"/>
    <w:rsid w:val="00DD3821"/>
    <w:rsid w:val="00DD6441"/>
    <w:rsid w:val="00DE333A"/>
    <w:rsid w:val="00DE6059"/>
    <w:rsid w:val="00DF1265"/>
    <w:rsid w:val="00DF4DEC"/>
    <w:rsid w:val="00E127F6"/>
    <w:rsid w:val="00E12A1C"/>
    <w:rsid w:val="00E12D92"/>
    <w:rsid w:val="00E147F6"/>
    <w:rsid w:val="00E176F7"/>
    <w:rsid w:val="00E2405F"/>
    <w:rsid w:val="00E24755"/>
    <w:rsid w:val="00E264B0"/>
    <w:rsid w:val="00E265B6"/>
    <w:rsid w:val="00E35FAA"/>
    <w:rsid w:val="00E36C83"/>
    <w:rsid w:val="00E406E1"/>
    <w:rsid w:val="00E455D7"/>
    <w:rsid w:val="00E51916"/>
    <w:rsid w:val="00E5491F"/>
    <w:rsid w:val="00E6228D"/>
    <w:rsid w:val="00E6442E"/>
    <w:rsid w:val="00E73FD7"/>
    <w:rsid w:val="00EA0633"/>
    <w:rsid w:val="00EA112C"/>
    <w:rsid w:val="00EA1AA3"/>
    <w:rsid w:val="00EC0A57"/>
    <w:rsid w:val="00EC3D76"/>
    <w:rsid w:val="00EC4D6E"/>
    <w:rsid w:val="00ED24F2"/>
    <w:rsid w:val="00EF1364"/>
    <w:rsid w:val="00EF3E71"/>
    <w:rsid w:val="00EF7C16"/>
    <w:rsid w:val="00F14933"/>
    <w:rsid w:val="00F420A0"/>
    <w:rsid w:val="00F43DF8"/>
    <w:rsid w:val="00F44ED9"/>
    <w:rsid w:val="00F45EA7"/>
    <w:rsid w:val="00F465A1"/>
    <w:rsid w:val="00F55697"/>
    <w:rsid w:val="00F60CC0"/>
    <w:rsid w:val="00F656F1"/>
    <w:rsid w:val="00F675AE"/>
    <w:rsid w:val="00F71E56"/>
    <w:rsid w:val="00F73192"/>
    <w:rsid w:val="00F74B70"/>
    <w:rsid w:val="00F74C7A"/>
    <w:rsid w:val="00F87ED1"/>
    <w:rsid w:val="00F91726"/>
    <w:rsid w:val="00FA2826"/>
    <w:rsid w:val="00FA7D86"/>
    <w:rsid w:val="00FB3A7D"/>
    <w:rsid w:val="00FB4658"/>
    <w:rsid w:val="00FC42B4"/>
    <w:rsid w:val="00FD3E2E"/>
    <w:rsid w:val="00FD6BDA"/>
    <w:rsid w:val="00FE6173"/>
    <w:rsid w:val="00FF17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4C94D4"/>
  <w15:chartTrackingRefBased/>
  <w15:docId w15:val="{E721FDDD-8716-4291-B22B-7573F878C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0E19F3"/>
    <w:pPr>
      <w:spacing w:after="120"/>
      <w:jc w:val="both"/>
    </w:pPr>
    <w:rPr>
      <w:rFonts w:ascii="Segoe UI" w:hAnsi="Segoe UI"/>
      <w:sz w:val="18"/>
      <w:szCs w:val="22"/>
      <w:lang w:eastAsia="en-US"/>
    </w:rPr>
  </w:style>
  <w:style w:type="paragraph" w:styleId="Nadpis1">
    <w:name w:val="heading 1"/>
    <w:basedOn w:val="Normln"/>
    <w:next w:val="Normln"/>
    <w:link w:val="Nadpis1Char"/>
    <w:uiPriority w:val="9"/>
    <w:qFormat/>
    <w:rsid w:val="000E19F3"/>
    <w:pPr>
      <w:keepNext/>
      <w:spacing w:after="0"/>
      <w:jc w:val="center"/>
      <w:outlineLvl w:val="0"/>
    </w:pPr>
    <w:rPr>
      <w:rFonts w:eastAsia="Times New Roman"/>
      <w:b/>
      <w:bCs/>
      <w:caps/>
      <w:kern w:val="32"/>
      <w:sz w:val="28"/>
      <w:szCs w:val="32"/>
    </w:rPr>
  </w:style>
  <w:style w:type="paragraph" w:styleId="Nadpis2">
    <w:name w:val="heading 2"/>
    <w:basedOn w:val="Normln"/>
    <w:next w:val="Normln"/>
    <w:link w:val="Nadpis2Char"/>
    <w:unhideWhenUsed/>
    <w:qFormat/>
    <w:rsid w:val="000E19F3"/>
    <w:pPr>
      <w:keepNext/>
      <w:spacing w:before="240"/>
      <w:jc w:val="center"/>
      <w:outlineLvl w:val="1"/>
    </w:pPr>
    <w:rPr>
      <w:rFonts w:eastAsia="Times New Roman"/>
      <w:b/>
      <w:bCs/>
      <w:iCs/>
      <w:caps/>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0E19F3"/>
    <w:rPr>
      <w:rFonts w:ascii="Segoe UI" w:eastAsia="Times New Roman" w:hAnsi="Segoe UI"/>
      <w:b/>
      <w:bCs/>
      <w:caps/>
      <w:kern w:val="32"/>
      <w:sz w:val="28"/>
      <w:szCs w:val="32"/>
      <w:lang w:eastAsia="en-US"/>
    </w:rPr>
  </w:style>
  <w:style w:type="character" w:customStyle="1" w:styleId="Nadpis2Char">
    <w:name w:val="Nadpis 2 Char"/>
    <w:link w:val="Nadpis2"/>
    <w:rsid w:val="000E19F3"/>
    <w:rPr>
      <w:rFonts w:ascii="Segoe UI" w:eastAsia="Times New Roman" w:hAnsi="Segoe UI"/>
      <w:b/>
      <w:bCs/>
      <w:iCs/>
      <w:caps/>
      <w:sz w:val="18"/>
      <w:szCs w:val="28"/>
      <w:lang w:eastAsia="en-US"/>
    </w:rPr>
  </w:style>
  <w:style w:type="paragraph" w:styleId="Bezmezer">
    <w:name w:val="No Spacing"/>
    <w:uiPriority w:val="1"/>
    <w:qFormat/>
    <w:rsid w:val="00E2405F"/>
    <w:pPr>
      <w:jc w:val="both"/>
    </w:pPr>
    <w:rPr>
      <w:sz w:val="22"/>
      <w:szCs w:val="22"/>
      <w:lang w:eastAsia="en-US"/>
    </w:rPr>
  </w:style>
  <w:style w:type="paragraph" w:customStyle="1" w:styleId="Podtitul">
    <w:name w:val="Podtitul"/>
    <w:basedOn w:val="Normln"/>
    <w:next w:val="Normln"/>
    <w:link w:val="PodtitulChar"/>
    <w:uiPriority w:val="11"/>
    <w:qFormat/>
    <w:rsid w:val="000E19F3"/>
    <w:pPr>
      <w:spacing w:after="240"/>
      <w:jc w:val="center"/>
      <w:outlineLvl w:val="1"/>
    </w:pPr>
    <w:rPr>
      <w:rFonts w:eastAsia="Times New Roman"/>
      <w:sz w:val="16"/>
      <w:szCs w:val="24"/>
    </w:rPr>
  </w:style>
  <w:style w:type="character" w:customStyle="1" w:styleId="PodtitulChar">
    <w:name w:val="Podtitul Char"/>
    <w:link w:val="Podtitul"/>
    <w:uiPriority w:val="11"/>
    <w:rsid w:val="000E19F3"/>
    <w:rPr>
      <w:rFonts w:ascii="Segoe UI" w:eastAsia="Times New Roman" w:hAnsi="Segoe UI"/>
      <w:sz w:val="16"/>
      <w:szCs w:val="24"/>
      <w:lang w:eastAsia="en-US"/>
    </w:rPr>
  </w:style>
  <w:style w:type="paragraph" w:styleId="Zhlav">
    <w:name w:val="header"/>
    <w:basedOn w:val="Normln"/>
    <w:link w:val="ZhlavChar"/>
    <w:uiPriority w:val="99"/>
    <w:unhideWhenUsed/>
    <w:rsid w:val="00AF25FC"/>
    <w:pPr>
      <w:tabs>
        <w:tab w:val="center" w:pos="4536"/>
        <w:tab w:val="right" w:pos="9072"/>
      </w:tabs>
    </w:pPr>
  </w:style>
  <w:style w:type="character" w:customStyle="1" w:styleId="ZhlavChar">
    <w:name w:val="Záhlaví Char"/>
    <w:link w:val="Zhlav"/>
    <w:uiPriority w:val="99"/>
    <w:rsid w:val="00AF25FC"/>
    <w:rPr>
      <w:sz w:val="22"/>
      <w:szCs w:val="22"/>
      <w:lang w:eastAsia="en-US"/>
    </w:rPr>
  </w:style>
  <w:style w:type="paragraph" w:styleId="Zpat">
    <w:name w:val="footer"/>
    <w:basedOn w:val="Normln"/>
    <w:link w:val="ZpatChar"/>
    <w:uiPriority w:val="99"/>
    <w:unhideWhenUsed/>
    <w:rsid w:val="00AF25FC"/>
    <w:pPr>
      <w:tabs>
        <w:tab w:val="center" w:pos="4536"/>
        <w:tab w:val="right" w:pos="9072"/>
      </w:tabs>
    </w:pPr>
  </w:style>
  <w:style w:type="character" w:customStyle="1" w:styleId="ZpatChar">
    <w:name w:val="Zápatí Char"/>
    <w:link w:val="Zpat"/>
    <w:uiPriority w:val="99"/>
    <w:rsid w:val="00AF25FC"/>
    <w:rPr>
      <w:sz w:val="22"/>
      <w:szCs w:val="22"/>
      <w:lang w:eastAsia="en-US"/>
    </w:rPr>
  </w:style>
  <w:style w:type="paragraph" w:styleId="Textbubliny">
    <w:name w:val="Balloon Text"/>
    <w:basedOn w:val="Normln"/>
    <w:link w:val="TextbublinyChar"/>
    <w:uiPriority w:val="99"/>
    <w:semiHidden/>
    <w:unhideWhenUsed/>
    <w:rsid w:val="00D03AAC"/>
    <w:pPr>
      <w:spacing w:after="0"/>
    </w:pPr>
    <w:rPr>
      <w:rFonts w:ascii="Tahoma" w:hAnsi="Tahoma" w:cs="Tahoma"/>
      <w:sz w:val="16"/>
      <w:szCs w:val="16"/>
    </w:rPr>
  </w:style>
  <w:style w:type="character" w:customStyle="1" w:styleId="TextbublinyChar">
    <w:name w:val="Text bubliny Char"/>
    <w:link w:val="Textbubliny"/>
    <w:uiPriority w:val="99"/>
    <w:semiHidden/>
    <w:rsid w:val="00D03AAC"/>
    <w:rPr>
      <w:rFonts w:ascii="Tahoma" w:hAnsi="Tahoma" w:cs="Tahoma"/>
      <w:sz w:val="16"/>
      <w:szCs w:val="16"/>
      <w:lang w:eastAsia="en-US"/>
    </w:rPr>
  </w:style>
  <w:style w:type="paragraph" w:styleId="Odstavecseseznamem">
    <w:name w:val="List Paragraph"/>
    <w:basedOn w:val="Normln"/>
    <w:uiPriority w:val="34"/>
    <w:qFormat/>
    <w:rsid w:val="00E12A1C"/>
    <w:pPr>
      <w:spacing w:after="200" w:line="276" w:lineRule="auto"/>
      <w:ind w:left="720"/>
      <w:contextualSpacing/>
      <w:jc w:val="left"/>
    </w:pPr>
    <w:rPr>
      <w:rFonts w:ascii="Calibri" w:eastAsia="Times New Roman" w:hAnsi="Calibri"/>
      <w:lang w:eastAsia="cs-CZ"/>
    </w:rPr>
  </w:style>
  <w:style w:type="character" w:styleId="Odkaznakoment">
    <w:name w:val="annotation reference"/>
    <w:uiPriority w:val="99"/>
    <w:unhideWhenUsed/>
    <w:rsid w:val="006732FA"/>
    <w:rPr>
      <w:sz w:val="16"/>
      <w:szCs w:val="16"/>
    </w:rPr>
  </w:style>
  <w:style w:type="paragraph" w:styleId="Textkomente">
    <w:name w:val="annotation text"/>
    <w:basedOn w:val="Normln"/>
    <w:link w:val="TextkomenteChar"/>
    <w:uiPriority w:val="99"/>
    <w:unhideWhenUsed/>
    <w:rsid w:val="006732FA"/>
    <w:rPr>
      <w:sz w:val="20"/>
      <w:szCs w:val="20"/>
    </w:rPr>
  </w:style>
  <w:style w:type="character" w:customStyle="1" w:styleId="TextkomenteChar">
    <w:name w:val="Text komentáře Char"/>
    <w:link w:val="Textkomente"/>
    <w:uiPriority w:val="99"/>
    <w:semiHidden/>
    <w:rsid w:val="006732FA"/>
    <w:rPr>
      <w:lang w:eastAsia="en-US"/>
    </w:rPr>
  </w:style>
  <w:style w:type="paragraph" w:styleId="Pedmtkomente">
    <w:name w:val="annotation subject"/>
    <w:basedOn w:val="Textkomente"/>
    <w:next w:val="Textkomente"/>
    <w:link w:val="PedmtkomenteChar"/>
    <w:uiPriority w:val="99"/>
    <w:semiHidden/>
    <w:unhideWhenUsed/>
    <w:rsid w:val="006732FA"/>
    <w:rPr>
      <w:b/>
      <w:bCs/>
    </w:rPr>
  </w:style>
  <w:style w:type="character" w:customStyle="1" w:styleId="PedmtkomenteChar">
    <w:name w:val="Předmět komentáře Char"/>
    <w:link w:val="Pedmtkomente"/>
    <w:uiPriority w:val="99"/>
    <w:semiHidden/>
    <w:rsid w:val="006732FA"/>
    <w:rPr>
      <w:b/>
      <w:bCs/>
      <w:lang w:eastAsia="en-US"/>
    </w:rPr>
  </w:style>
  <w:style w:type="table" w:styleId="Mkatabulky">
    <w:name w:val="Table Grid"/>
    <w:basedOn w:val="Normlntabulka"/>
    <w:uiPriority w:val="59"/>
    <w:rsid w:val="00E406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unhideWhenUsed/>
    <w:rsid w:val="00C40B53"/>
    <w:rPr>
      <w:color w:val="0000FF"/>
      <w:u w:val="single"/>
    </w:rPr>
  </w:style>
  <w:style w:type="paragraph" w:styleId="Revize">
    <w:name w:val="Revision"/>
    <w:hidden/>
    <w:uiPriority w:val="99"/>
    <w:semiHidden/>
    <w:rsid w:val="00350261"/>
    <w:rPr>
      <w:rFonts w:ascii="Segoe UI" w:hAnsi="Segoe UI"/>
      <w:sz w:val="18"/>
      <w:szCs w:val="22"/>
      <w:lang w:eastAsia="en-US"/>
    </w:rPr>
  </w:style>
  <w:style w:type="character" w:styleId="Siln">
    <w:name w:val="Strong"/>
    <w:uiPriority w:val="1"/>
    <w:qFormat/>
    <w:rsid w:val="00D02B08"/>
    <w:rPr>
      <w:b/>
      <w:bCs/>
    </w:rPr>
  </w:style>
  <w:style w:type="paragraph" w:customStyle="1" w:styleId="Default">
    <w:name w:val="Default"/>
    <w:rsid w:val="00D02B08"/>
    <w:pPr>
      <w:autoSpaceDE w:val="0"/>
      <w:autoSpaceDN w:val="0"/>
      <w:adjustRightInd w:val="0"/>
    </w:pPr>
    <w:rPr>
      <w:rFonts w:cs="Calibri"/>
      <w:color w:val="000000"/>
      <w:sz w:val="24"/>
      <w:szCs w:val="24"/>
    </w:rPr>
  </w:style>
  <w:style w:type="paragraph" w:customStyle="1" w:styleId="Prosttext1">
    <w:name w:val="Prostý text1"/>
    <w:basedOn w:val="Normln"/>
    <w:rsid w:val="00345F41"/>
    <w:pPr>
      <w:suppressAutoHyphens/>
      <w:spacing w:after="0"/>
      <w:jc w:val="left"/>
    </w:pPr>
    <w:rPr>
      <w:rFonts w:ascii="Calibri" w:hAnsi="Calibri"/>
      <w:sz w:val="22"/>
      <w:szCs w:val="21"/>
      <w:lang w:eastAsia="ar-SA"/>
    </w:rPr>
  </w:style>
  <w:style w:type="character" w:customStyle="1" w:styleId="TextkomenteChar1">
    <w:name w:val="Text komentáře Char1"/>
    <w:uiPriority w:val="99"/>
    <w:rsid w:val="00345F41"/>
    <w:rPr>
      <w:rFonts w:ascii="Segoe UI" w:eastAsia="Calibri" w:hAnsi="Segoe UI" w:cs="Segoe UI"/>
      <w:lang w:eastAsia="ar-SA"/>
    </w:rPr>
  </w:style>
  <w:style w:type="character" w:customStyle="1" w:styleId="WW8Num17z1">
    <w:name w:val="WW8Num17z1"/>
    <w:rsid w:val="00EF1364"/>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976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B9A08-1E82-458D-A330-7BEFB3C37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15</Pages>
  <Words>6261</Words>
  <Characters>36941</Characters>
  <Application>Microsoft Office Word</Application>
  <DocSecurity>0</DocSecurity>
  <Lines>307</Lines>
  <Paragraphs>86</Paragraphs>
  <ScaleCrop>false</ScaleCrop>
  <HeadingPairs>
    <vt:vector size="2" baseType="variant">
      <vt:variant>
        <vt:lpstr>Název</vt:lpstr>
      </vt:variant>
      <vt:variant>
        <vt:i4>1</vt:i4>
      </vt:variant>
    </vt:vector>
  </HeadingPairs>
  <TitlesOfParts>
    <vt:vector size="1" baseType="lpstr">
      <vt:lpstr/>
    </vt:vector>
  </TitlesOfParts>
  <Company>ČEZ ICT Services, a. s.</Company>
  <LinksUpToDate>false</LinksUpToDate>
  <CharactersWithSpaces>43116</CharactersWithSpaces>
  <SharedDoc>false</SharedDoc>
  <HLinks>
    <vt:vector size="6" baseType="variant">
      <vt:variant>
        <vt:i4>2686999</vt:i4>
      </vt:variant>
      <vt:variant>
        <vt:i4>0</vt:i4>
      </vt:variant>
      <vt:variant>
        <vt:i4>0</vt:i4>
      </vt:variant>
      <vt:variant>
        <vt:i4>5</vt:i4>
      </vt:variant>
      <vt:variant>
        <vt:lpwstr/>
      </vt:variant>
      <vt:variant>
        <vt:lpwstr>priloha_1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AKZO</dc:creator>
  <cp:keywords/>
  <cp:lastModifiedBy>rac0058</cp:lastModifiedBy>
  <cp:revision>4</cp:revision>
  <cp:lastPrinted>2014-04-01T05:01:00Z</cp:lastPrinted>
  <dcterms:created xsi:type="dcterms:W3CDTF">2021-08-16T08:53:00Z</dcterms:created>
  <dcterms:modified xsi:type="dcterms:W3CDTF">2021-08-31T08:40:00Z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e1bae42-e289-4de2-8912-40e3bcb76f09_Enabled">
    <vt:lpwstr>true</vt:lpwstr>
  </property>
  <property fmtid="{D5CDD505-2E9C-101B-9397-08002B2CF9AE}" pid="3" name="MSIP_Label_4e1bae42-e289-4de2-8912-40e3bcb76f09_SetDate">
    <vt:lpwstr>2021-03-22T09:00:08Z</vt:lpwstr>
  </property>
  <property fmtid="{D5CDD505-2E9C-101B-9397-08002B2CF9AE}" pid="4" name="MSIP_Label_4e1bae42-e289-4de2-8912-40e3bcb76f09_Method">
    <vt:lpwstr>Privileged</vt:lpwstr>
  </property>
  <property fmtid="{D5CDD505-2E9C-101B-9397-08002B2CF9AE}" pid="5" name="MSIP_Label_4e1bae42-e289-4de2-8912-40e3bcb76f09_Name">
    <vt:lpwstr>L00031</vt:lpwstr>
  </property>
  <property fmtid="{D5CDD505-2E9C-101B-9397-08002B2CF9AE}" pid="6" name="MSIP_Label_4e1bae42-e289-4de2-8912-40e3bcb76f09_SiteId">
    <vt:lpwstr>b233f9e1-5599-4693-9cef-38858fe25406</vt:lpwstr>
  </property>
  <property fmtid="{D5CDD505-2E9C-101B-9397-08002B2CF9AE}" pid="7" name="MSIP_Label_4e1bae42-e289-4de2-8912-40e3bcb76f09_ActionId">
    <vt:lpwstr>2e4aac8e-468f-4b37-be51-7ae6b7fe1515</vt:lpwstr>
  </property>
  <property fmtid="{D5CDD505-2E9C-101B-9397-08002B2CF9AE}" pid="8" name="MSIP_Label_4e1bae42-e289-4de2-8912-40e3bcb76f09_ContentBits">
    <vt:lpwstr>0</vt:lpwstr>
  </property>
  <property fmtid="{D5CDD505-2E9C-101B-9397-08002B2CF9AE}" pid="9" name="DocumentClasification">
    <vt:lpwstr>Veřejné</vt:lpwstr>
  </property>
  <property fmtid="{D5CDD505-2E9C-101B-9397-08002B2CF9AE}" pid="10" name="CEZ_DLP">
    <vt:lpwstr>CEZ:ESCO:D</vt:lpwstr>
  </property>
  <property fmtid="{D5CDD505-2E9C-101B-9397-08002B2CF9AE}" pid="11" name="CEZ_MIPLabelName">
    <vt:lpwstr>Public-ESCO</vt:lpwstr>
  </property>
</Properties>
</file>